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г.р., &lt;...&gt;, ИНН &lt;***&gt;, СНИЛС &lt;***&gt;, зарегистрирована по адресу: &lt;...&gt;)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ФИО1 процедуру реализации имущества гражданина сроком на пять месяцев (до 14.06.2020).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ФИО1 - ФИО3 (ИНН &lt;***&gt;, регистрационный номер в сводном государственном реестре арбитражных управляющих - 8392, адрес для направления корреспонденции: 644112, &lt;...&gt;, а/я 8274), члена Ассоциации саморегулируемой организации «Объединение арбитражных управляющий «Лидер».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финансовому управляющему должника в размере, предусмотренном пунктом 3 статьи 20.6 Федерального закона от 26.10.2002 № 127-ФЗ «О несостоятельности (банкротстве)», двадцать пять тысяч рублей единовременно за проведение процедуры, применяемой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течение пяти дней со дня опубликования сведений о признании гражданина банкротом и о введении процедуры реализации имущества гражданина представить в суд доказательства опубликования указанных сведений.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рассмотрению отчёта финансового управляющего должника на 09 июня 2020 года в 15 часов 10 минут в помещении суда по адресу: &lt;...&gt;, каб. 207. Явка лиц, участвующих в деле, обязательна.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за пять дней до даты судебного заседания представить в арбитражный суд отчет о результатах проведения процедуры реализации имущества гражданина с приложением документов, предусмотренных статьей 213.28 Федерального закона от 26.10.2002 № 127-ФЗ «О несостоятельности (банкротстве)», с описью и в подшитом виде.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с депозитного счета Арбитражного суда Омской области фиксированную сумму вознаграждения в размере 25 000 рублей, перечисленных по чеку- ордеру от 17.06.2019 за проведение процедуры реструктуризация долгов гражданина арбитражному управляющему ФИО3. Решение подлежит немедленному исполнению, может быть обжаловано в течение месяца после принятия путем подачи апелляционной жалобы в Восьмой арбитражный апелляционный суд. Судья Н.А. Горобец Электронная подпись действительна.Данные ЭП:Удостоверяющий центр ФГБУ ИАЦ СудебногодепартаментаДата 31.05.2019 2:47:39Кому выдана Горобец Наталья Анатольевна Суд: АС Омской области (подробнее) Судьи дела: Горобец Н.А. (судья) (подробнее) Последние документы по делу: Решение от 19 января 2020 г. по делу № А46-10997/2019 Резолютивная часть решения от 14 января 2020 г. по делу № А46-10997/2019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