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ФИО2 (дата рождения - 09.09.1997г.; место рождения - гор. Рязань; место регистрации - &lt;...&gt;; СНИЛС &lt;***&gt;; ИНН &lt;***&gt;) и ввести процедуру реализации имущества должника сроком до 21.07.2023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ФИО4 (ИНН &lt;***&gt;, адрес для направления корреспонденции: 454100, Челябинская обл, Челябинск г, 40-летия Победы ул, дом № 5, а/я 9583), являющегося членом Ассоциации "Саморегулируемая организация арбитражных управляющих "Меркурий".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21.07.2023 на 10 час. 05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Т.В.Киселева Суд: АС Рязанской области (подробнее) Иные лица: СОАУ "Меркурий" (подробнее) Управление Федеральной службы государственной регистрации, кадастра и картографии по Рязанской области (ИНН: 6234010728) (подробнее) УФНС России по РО (подробнее) Судьи дела: Киселева Т.В. (судья) (подробнее) Последние документы по делу: Решение от 13 февраля 2023 г. по делу № А54-7995/2022 Резолютивная часть решения от 13 февраля 2023 г. по делу № А54-7995/2022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