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заключения брака (в том числе, фамилию, имя и отчество супруга, и дату заключения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расторжения брака (в том числе, фамилию, имя и отчество супруга, и дату расторжения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фамилии;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имени;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отчества;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рождения детей;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усыновления (удочерения); о государственной регистрации внесения исправлений в записи актов гражданского состояния. Назначить судебное заседание по рассмотрению отчета по результатам процедуры реализации имущества гражданина на 22.08.2023 г. в 16 час. 05 мин. в помещении суда по адресу: &lt;...&gt; д 32, зал судебных заседаний 605. 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суд, принявший решение. Решение суда по настоящему делу может быть обжаловано в кассационном порядке в Арбитражный суд Северо-Кавказского округа в течение двух месяцев с даты вступления решения по делу в законную силу через суд, вынесший решение,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А.А. Огилец Суд: АС Краснодарского края (подробнее) Истцы: А "СРАУ "Меркурий" (подробнее) Судьи дела: Огилец А.А. (судья) (подробнее) Последние документы по делу: Резолютивная часть решения от 22 марта 2023 г. по делу № А32-63199/2022 Решение от 22 марта 2023 г. по делу № А32-63199/2022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