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03 ноября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ФИО3 Вячеславовну, члена Ассоциации арбитражных управляющих «Гарантия».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Федеральным законом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10 минут 15 ноября 2023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03 ноября 2023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Настоящее решение выполнено в форме электронного документа, подписано усиленной квалифицированной электронной подписью судьи, и считается направленным лицам, участвующим в деле, посредством размещения в информационной системе «Картотека арбитражных дел» на общедоступном официальном сайте системы арбитражных судов Российской Федерации по адресу: http://kad.arbitr.ru в информационно-телекоммуникационной сети «Интернет» в режиме ограниченного доступа.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Судья Е.А. Карпова Электронная подпись действительна.Данные ЭП:Удостоверяющий центр Казначейство РоссииДата 26.10.2022 10:01:00 Кому выдана Карпова Елена Анатольевна Суд: АС Пензенской области (подробнее) Иные лица: Ассоциация арбитражных управляющих "Гарантия" (подробнее) Судьи дела: Карпова Е.А. (судья) (подробнее) Последние документы по делу: Резолютивная часть решения от 3 мая 2023 г. по делу № А49-12586/2022 Решение от 4 мая 2023 г. по делу № А49-12586/2022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