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заключения брака (в том числе, фамилию, имя и отчество супруга, и дату заключения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расторжения брака (в том числе, фамилию, имя и отчество супруга, и дату расторжения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фамилии;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имени;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отчества;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рождения детей;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усыновления (удочерения);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внесения исправлений в записи актов гражданского состояния. Назначить судебное заседание по рассмотрению отчета по результатам процедуры реализации имущества гражданина на 07.10.2024 г. в 16 час. 56 мин. в помещении суда по адресу: &lt;...&gt; д 32, зал судебных заседаний 605. 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суд, принявший решение. Решение суда по настоящему делу может быть обжаловано в кассационном порядке в Арбитражный суд Северо-Кавказского округа в течение двух месяцев с даты вступления решения по делу в законную силу через суд, вынесший решение,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А.А. Огилец Суд: АС Краснодарского края (подробнее) Иные лица: АССОЦИАЦИЯ "ДМСО" (ИНН: 2721099166) (подробнее) Судьи дела: Огилец А.А. (судья) (подробнее) Последние документы по делу: Резолютивная часть решения от 16 апреля 2024 г. по делу № А32-9535/2024 Решение от 17 апреля 2024 г. по делу № А32-9535/2024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