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процедуру реструктуризации долгов ФИО1 (дата и место рождения: 14.11.1979, Санкт-Петербург; адрес: 195269,&lt;...&gt;; ИНН &lt;***&gt;; СНИЛС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 - до 12 октября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арбитражного управляющего ФИО2 (ИНН &lt;***&gt;, регистрационный номер в сводном государственном реестре арбитражных управляющих – 21223, адрес для корреспонденции: 410028, г. Саратов, а/я 1194), члена Ассоциации арбитражных управляющих «ГАРАНТИЯ» (ИНН &lt;***&gt;; 125167,&lt;...&gt;, эт. 2; 115088, &lt;...&gt; д. 13а, стр. 1, комн. 20).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гражданинаи включения указанных сведений в Единый федеральный реестр сведенийо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процедуры реализации имущества ФИО1 в судебном заседании на 08 октября 2024 года в 10 час. 55 мин. в помещении суда по адресу:&lt;...&gt;, зал № 3010.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Перечислить арбитражному управляющему ФИО2 с депозитного счета Арбитражного суда города Санкт-Петербургаи Ленинградской области денежные средства в размере 25 000 руб., внесенныев депозит Арбитражного суда города Санкт-Петербурга и Ленинградской области обществом с ограниченной ответственностью «М.Б.А. Финансы» по платежному поручению № 27607 от 27.04.2023, по реквизитам, указанным в ходатайствео признании должника несостоятельным (банкротом). Решение подлежит немедленному исполнению и может быть обжалованов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Ассоциация арбитражных управляющих "Гарантия" (подробнее) ГУ Отделение Пенсионного фонда Российской Федерации по Санкт-Петербургу и Ленинградской области (подробнее) Межрайонная инспекция Федеральной налоговой службы №18 по Санкт-Петербургу (подробнее) ООО "М.Б.А. Финансы" (подробнее) Управление по вопросам миграции Главного управления Министерства внутренних дел Российской Федерации по г. Санкт-Петербургу и Ленинградской области (подробнее) Управление Федеральной службы государственной регистрации, кадастра и картографии по Санкт-Петербургу (подробнее) ФНС России Управление по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