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заключения брака (в том числе, фамилию, имя и отчество супруга, и дату заключения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расторжения брака (в том числе, фамилию, имя и отчество супруга, и дату расторжения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фамилии;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имени;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перемены отчества;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рождения детей;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усыновления (удочерения);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государственной регистрации внесения исправлений в записи актов гражданского состояния. Назначить судебное заседание по рассмотрению отчета по результатам процедуры реализации имущества гражданина на 08.10.2024 г. в 16 час. 55 мин. в помещении суда по адресу: &lt;...&gt; д 32, зал судебных заседаний 605. 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суд, принявший решение. Решение суда по настоящему делу может быть обжаловано в кассационном порядке в Арбитражный суд Северо-Кавказского округа в течение двух месяцев с даты вступления решения по делу в законную силу через суд, вынесший решение,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А.А. Огилец Суд: АС Краснодарского края (подробнее) Иные лица: А СОАУ "Меркурий" (подробнее) Последние документы по делу: Решение от 26 апреля 2024 г. по делу № А32-53401/2023 Резолютивная часть решения от 26 апреля 2024 г. по делу № А32-53401/2023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