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расторжения брака (в том числе, фамилию, имя и отчество супруга, и дату расторжения брака);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перемены фамилии;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перемены имени;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перемены отчества;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рождения детей;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усыновления (удочерения);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внесения исправлений в записи актов гражданского состояния. Назначить судебное заседание по рассмотрению отчета по результатам процедуры реализации имущества гражданина на 08.10.2024 г. в 16 час. 47 мин. в помещении суда по адресу: &lt;...&gt; д 32, зал судебных заседаний 605. Решение суда по настоящему делу подлежит немедленному исполнению и может быть обжаловано в апелляционном порядке в Пятнадцатый арбитражный апелляционный суд в течение одного месяца с даты принятия через суд, принявший решение. Решение суда по настоящему делу может быть обжаловано в кассационном порядке в Арбитражный суд Северо-Кавказского округа в течение двух месяцев с даты вступления решения по делу в законную силу через суд, вынесший решение,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Судья А.А. Огилец Суд: АС Краснодарского края (подробнее) Последние документы по делу: Решение от 27 апреля 2024 г. по делу № А32-10504/2024 Резолютивная часть решения от 27 апреля 2024 г. по делу № А32-10504/2024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