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0,01 руб. по договору субподряда № АБИ-259-СП-12.21 от 10.01.2022 за выполненные работы (без учета гарантийных удержаний);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12 552 263,96 руб. по договору субподряда № АБИ-29-СП-03.22 от 01.04.2022 за выполненные работы (без учета гарантийных удержаний);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28 834 949,11 руб. по договору субподряда № АБИ-39-СП-04.22 от 14.04.2022 за выполненные работы (без учета гарантийных удержаний). На основании ст. 410 ГК РФ истец направил в адрес ответчика заявление от 24.04.2023 о прекращении обязательства по спорному договору в размере 41 387 213 руб. 08 коп. зачетом обязательства истца перед ответчиком по указанным выше договорам подряда, которое было получено ответчиком 26.05.2023. Данный факт сторонами не оспаривается, в связи с чем зачет признан состоявшимся. Доказательств погашения задолженности в размере 134 794 795,62 руб. в добровольном порядке ответчик не представил. Учитывая нормы ст.ст. 309 , 310 , 329 , 330 , 516 ГК РФ и установленные судом фактические обстоятельства спора, суд первой инстанции обоснованно взыскал с ответчика в пользу истца задолженность в размере 134 794 795 руб. 62 коп., пени за период с 25.03.2023 по 22.11.2023 в размере 33 103 802 руб. 68 коп. Расчет пени проверен и признан правильным. Довод заявителя жалобы о том, что истец не уменьшил размер взыскиваемой задолженности на предъявленные ему ответчиком к зачету встречные требования на сумму 41 387 213,08 руб., подлежит отклонению судом апелляционной инстанции, поскольку, как указано выше, зачет был учтен самим истцом, что следует из расчета задолженности, изложенного в решении. Принимая во внимание изложенное, суд апелляционной инстанции считает, что доводы апелляционных жалоб не содержат фактов, которые не были бы проверены и не учтены судом первой инстанции при рассмотрении дела и имели бы юридическое значение для вынесения судебного акта по существу, влияли на обоснованность и законность судебного решения, либо опровергали выводы суда первой инстанции, в связи с чем, признаются судом апелляционной инстанции несостоятельными и не могут служить основанием для отмены определения и решения суда первой инстанции. Учитывая изложенное, суд апелляционной инстанции приходит к выводу о том, что определение и решение суда первой инстанции являются законными и обоснованными и подлежат оставлению без изменения. Руководствуясь ст. ст. 176 , 266 , 268 , 269 , 271 АПК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