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68</w:t>
      </w:r>
    </w:p>
    <w:p>
      <w:pPr>
        <w:spacing w:after="80"/>
        <w:jc w:val="center"/>
      </w:pPr>
      <w:r>
        <w:rPr>
          <w:rFonts w:ascii="Times New Roman" w:hAnsi="Times New Roman" w:eastAsia="Times New Roman" w:cs="Times New Roman"/>
          <w:b w:val="0"/>
          <w:i w:val="0"/>
          <w:sz w:val="22"/>
        </w:rPr>
        <w:t>город Самара</w:t>
      </w:r>
    </w:p>
    <w:p>
      <w:pPr>
        <w:spacing w:after="200"/>
        <w:jc w:val="center"/>
      </w:pPr>
      <w:r>
        <w:rPr>
          <w:rFonts w:ascii="Times New Roman" w:hAnsi="Times New Roman" w:eastAsia="Times New Roman" w:cs="Times New Roman"/>
          <w:b w:val="0"/>
          <w:i w:val="0"/>
          <w:sz w:val="22"/>
        </w:rPr>
        <w:t>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Правительства РФ от 24.06.2017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2. ГОСТ Р 55555-2013 Национальный стандарт Российской Федерации «Платформы подъемные для инвалидов и других маломобильных групп населения», 3. ГОСТ 34682.2-2020 (EN 81-41:2010) Межгосударственный стандарт «Платформы подъемные для инвалидов и других маломобильных групп населения. Требования безопасности к устройству и установке. Часть 2. Платформы с вертикальным перемещением"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TP ТС 010/2011 «О безопасности машин и оборудования». ООО «Специализированный застройщик «Компания Владимир» получило письмо от 15.02.2024 от ООО «Проектная группа ОККО», из которого следует, что Платформа подъёмная с вертикальным и наклонным перемещением для маломобильных групп населения, торговая марка: «Уралподъёмник» модель «ВПМ-Эконом» соответствует проекту и градостроительным нормам на проектирование и строительство. В соответствии с частью 11 статьи 48 Градостроительного кодекса РФ от 29.12.2004 № 190-ФЗ, подготовка проектной документации должна осуществляться, в том числе, на основании информации, указанной в градостроительном плане земельного участка. Предмет экспертизы проектной документации определен частью 5 статьи 49 Кодекса и заключается в оценке соответствия проектной документации требованиям технических регламентов, иных установленных требований, заданию на проектирование и результатам инженерных изысканий. В связи с этим, в ходе экспертизы проектной документации, экспертной организацией оценивается соответствие проектной документации исходным данным, в соответствии с которыми осуществлялось проектирование, в том числе ГПЗУ. Данная оценка направлена на обеспечение требований надежности и безопасности при проектировании объекта капитального строительства. Срок давности результатов экспертизы инженерных изысканий и проектной документации действующим законодательством о градостроительной деятельности не установлен. Кроме того, предмет экспертизы проектной документации, как одного из видов оценки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 обусловлен обеспечением со стороны государства защиты жизни и здоровья граждан, имущество физических или юридических лиц, государственного или муниципального имущества, охрану окружающей среды, жизни и здоровья животных и растений (статьи 1, 38, 39 Технического регламента о безопасности зданий и сооружений от 30.12.2009 № 384-ФЗ (далее Федеральный закон 384-ФЗ). Ответчик в суде первой инстанции указал на то, что в соответствии с частью 2 статьи 15 Федеральный закон 384-ФЗ в проектной документации должны быть учтены исходные данные, передаваемые застройщиком (заказчиком) в соответствии с законодательством о градостроительной деятельности. Согласно части 5.2 статьи 49 Кодекса,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части 5 настоящей статьи и действовавшим на дату выдачи ГПЗУ, на основании которого была подготовлена такая проектная документация, при условии, что с указанной даты прошло не более полутора лет. В соответствии с частью 7 статьи 51 Кодекса, в целях строительства, реконструкции объекта капитального строительства застройщик направляет заявление о выдаче разрешения на строительство с приложением документов, в том числе ГПЗУ, выданного не ранее чем за три года до дня представления заявления на получения разрешения на строительство. Таким образом, следующие документы: ГПЗУ № RU 63301000-3467 от 11.05.2017 выданный Департаментом градостроительства городского округа Самара; положительное заключение негосударственной экспертизы от 13.04.2018 № 63-2-1-30006-18, выданное ООО «Проектный институт Средволгогипроводхоз»; разрешение на строительство от 18.06.2018 № 63-301000-158-2018, выданное Министерством строительства Самарской области, по объекту «Многоэтажная жилая застройка, расположенная по адресу: г. Самара, Советский район, ул. Антонова-Овсеенко» получены в соответствии с действующим законодательством и в установленные сроки. Перечень нормативных документов для проектирования объекта капитального строительства регламентируется Постановлением Правительства Российской Федерации от 26.12.2014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(далее Постановление РФ № 1521), заявленные нормативные документы в Письме от 10.01.2024 № 1 от ООО НТЦ «Безопасность лифтов» отсутствуют, либо вступили в действие после даты получения ГПЗУ. Исходя из изложенного, суд первой инстанции пришел к выводу о том, что указанные документы не могут применяться к спорному подъёмнику. На момент выдачи ГПЗУ действовал следующий нормативный документ на проектирование инфраструктуры для маломобильных групп населения - СП 59.13330.2012 Доступность зданий и сооружений для маломобильных групп населения (действ. с 01.01.2013). В соответствии с п. 4.1.14 СП 59.13330.2012, пандус с расчетной длиной 36,0 м и более или высотой более 3,0 м следует заменять подъемными устройствами, также, согласно п. 5.2.13 пандусы при перепаде высот более 3,0 м следует заменять лифтами, подъемными платформами и т.п. В данном своде правил отсутствуют ссылки (Приложение А) на применение нормативных документов, указанных в Письме от 10.01.2024 № 1 от ООО НТЦ «Безопасность лифтов». Проектом эти условия (Кодекс, Постановление РФ № 1521, СП 59.13330.2012) были выполнены на стадии проектирования, в последствии реализованные на объекте посредством установки подъемника ВПМ «Эконом», что соответствует проектным решениям на объект проектирования и строительства, действующим градостроительным нормам на проектирование и строительство. В соответствии с частью 1 статьи 55 Кодекса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Указанное также подтверждено полученным заключением от 29.12.2020 № 01-0507/171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прибором учета используемых энергетических ресурсов, выданным Государственной инспекцией строительного надзора Самарской области; полученным разрешением на ввод объекта в эксплуатацию от 30.12.2020 № 63-301000-158-2018, выданным Министерством строительства Самарской области. С учетом изложенного суд первой инстанции пришел к выводу о том, что объект капитального строительства «Многоэтажная жилая застройка, расположенная по адресу: г. Самара, Советский район, ул. Антонова-Овсеенко» и его проектная документация соответствует требованиям градостроительного законодательства и реализован в полном объеме. Кроме того, анализ нормативных документов, представленных в Письме от 10.01.2024 № 1 от ООО НТЦ «Безопасность лифтов» показал, что: - постановление Правительства РФ от 24.06.2017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не действовало на момент на момент выдачи ГПЗУ; - ГОСТ Р 55555-2013 (ИСО 9386-1:2000) «Платформы подъемные для инвалидов и других маломобильных групп населения. Требования безопасности и доступности. Часть 1. Платформы подъемные с вертикальным перемещением» не применим в соответствии с СП 59.13330.2012 и отсутствует в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регламентируемых Постановлением РФ № 1521; - ГОСТ 34682.2-2020 (EN 81-41:2010) «Платформы подъемные для инвалидов и других маломобильных групп населения. Требования безопасности к устройству и установке. Часть 2. Платформы с вертикальным перемещением» не действовал на момент выдачи ГПЗУ; - TP ТС 010/2011 Технический регламент Таможенного союза "О безопасности машин и оборудования" не применим в соответствии с СП 59.13330.2012 и отсутствует в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регламентируемых Постановлением РФ № 1521. Принимая во внимание указанные обстоятельства, руководствуясь статьей 309 Гражданского кодекса Российской Федерации, статьями 48 , 49 , 51 , 55 Градостроительного кодекса Российской Федерации, статьями 65 , 110 , 167 - 170 , 176 Арбитражного процессуального кодекса Российской Федерации, статьями 1, 15, 38, 39 Федерального закона от 30.12.2009 № 384-ФЗ "Технический регламент о безопасности зданий и сооружений, суд первой инстанции правомерно и обоснованно отказал в иске. Доводы, изложенные в апелляционной жалобе, являлись предметом исследования суда первой инстанции, который дал им надлежащую правовую оценку. Суд апелляционной инстанции не находит оснований для переоценки выводов суда первой инстанции. В апелляционной жалобе не приведено доводов, опровергающих выводы суда первой инстанции. При указанных обстоятельствах отсутствуют предусмотренные статьей 270 Арбитражного процессуального кодекса Российской Федерации основания для изменения или отмены судебного акта суда первой инстанции. Судебные расходы, связанные с рассмотрением дела в суде апелляционной инстанции, в соответствии с частью 1 статьи 110 Арбитражного процессуального кодекса Российской Федерации относятся на заявителя апелляционной жалобы. Руководствуясь статьями 258 , 266 , 268 , 269 , 271 Арбитражного процессуального кодекса Российской Федерации, Одиннадцатый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