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Подготовка и согласование регламента;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Запрос планирования потребностей к Яндекс.Маршрутизатору;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Запрос результатов планирования к Яндекс.Маршрутизатору;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Реализация БО «Задача маршрутизации»;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Реализация стратегии планирования;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Реализация логирования результатов;</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Формирование фрахтовых заказов;</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Адаптация формата ведения несовместимостей, на общую сумму 3 988 890 руб.». В гарантийном письме истца от 30.06.2023, о котором упоминает Ответчик в своей Апелляционной жалобе, указанные выше работы/услуги перечислены как выполненные, какие - либо указания на недоработки в рамках перечня в письме отсутствуют, а речь идет о гарантиях Исполнителя (истца) обеспечить по запросу Заказчика (ответчика) участие в планомерном запуске волн планирования и устранение выявленных недостатков в пределах гарантийной поддержки работ/услуг по Договору на протяжении 1 года с момента запуска проекта. Таким образом, истец, направлением гарантийного письма, указал на полное выполнение работ/услуг по Договору, на готовность осуществлять гарантийную поддержку и участвовать в реализации проекта Заказчика в целом, за рамками оказания услуг по Договору. Договор подписан сторонами без разногласий к его предмету, порядку исполнения и приемки работ/услуг. Одним из основополагающих принципов гражданского законодательства является принцип свободы договора, согласно которому граждане и юридические лица свободны в заключении договора (ст. 421 ГК РФ ). В соответствии со ст. 422 ГК РФ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По смыслу приведенных выше законоположений, свобода договора означает свободу волеизъявления стороны договора на его заключение на определенных сторонами условиях. Стороны договора по собственному усмотрению решают вопросы о заключении договора и его содержании, обязаны исполнять договор надлежащим образом в соответствии с условиями обязательства. Так, сторонами по Договору согласован порядок и способ приемки работ - цитата из Договора (п. 3.2 Договора): Акт оказанных Услуг/выполненных Работ составляется Исполнителем по форме, утвержденной Сторонами в Приложении №3 к настоящему Договору, подписывается уполномоченным представителем Исполнителя, скрепляется печатью Исполнителя и предоставляется Заказчику не позднее 3 (трех) рабочих дней с даты завершения оказания Услуг/выполнения Работ по соответствующей Заявке. Заказчик подписывает Акт оказанных Услуг/выполненных Работ в течение 10 (десяти) рабочих дней с даты его получения от Исполнителя, если иной срок не указан в Заявке, либо направляет мотивированный отказ от подписания. Если в течение установленного срока Заказчик не вышлет подписанный Акт или мотивированный отказ от его подписания, то обязательства Исполнителя по настоящему Договору считаются выполненными и подлежат оплате в полном объеме. Таким образом, сторонами подписанием Договора четко определены необходимые действия заказчика и исполнителя по сдаче и приемке работ, а отсутствие подписи ответчика (Заказчика) на Акте № МТГЯ-23-01 от 31.07.2023, полученном ответчиком 11.09.2023, никоим образом не свидетельствует об отсутствии необходимости подготовки и направления ответчиком мотивированного отказа в установленный Договором десятидневный срок. Более того, истцом предоставлена ответчику возможность реализовать свои права, определенные условиями Договора в части направления мотивированного отказа, в более длительный срок, нежели установленный Договором, однако ответчик своим правом не воспользовался. Следовательно, вместо добросовестного исполнения достигнутых договоренностей ответчик уклонился от подписания акта выполненных работ (Акт № МТГЯ-23-01 от 31.07.2023) и от оплаты полученного результата работ. Вместе с тем, в соответствии с пп. 3, 4 ст. 1 ГК РФ ,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Таким образом, довод ответчика опровергается представленными доказательствами по делу. При таких обстоятельствах, приведенные в апелляционной жалобе доводы не нашли правового и документального обоснования, не могут являться основанием для отмены судебного акта. Арбитражный суд города Москвы полно, всесторонне и объективно установил и рассмотрел обстоятельства дела, представленным доказательствам дана надлежащая правовая оценка с позиции их относительности, допустимости и достоверности, правильно применил нормы материального и процессуального права. В соответствии с частью 1 статьи 110 Арбитражного процессуального кодекса Российской Федерации расходы по уплате государственной пошлины за подачу апелляционной жалобы относятся на заявителя. Руководствуясь статьями 176 , 266 - 268 , пунктом 1 статьи 269 , статьей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