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Указания по эксплуатации. Опалубочные работы должны производиться в соответствии со СНиП 3.01.01 и проектом производства работ (ПНР). Требования безопасности при эксплуатации по СНиП 12-03. Монтаж и демонтаж опалубки может производиться только при наличии технологической карты или проекта производства работ. 11.4 К работам по монтажу и демонтажу опалубки на высоте допускаются рабочие, прошедшие инструктаж. Равным образом указание на необходимость разработки ПНР при использовании арендованного изделия содержится и в Паспорте. Инструкция по эксплуатации. Стойка объемная опорная. Как справедливо установлено судом области, истец не является профессиональным строителем либо проектировщиком в сфере строительства, а потому не имеет возможности готовить какие-либо документы в указанной области профессиональной деятельности. Предложенная истцом схема расстановки элементов объемной опалубки, содержащаяся в материалах дела, корреспондирует сводной табличной форме, как части коммерческого предложения истца, адресованного ответчику - оба этих документа датированы 07 апреля 2022 года, то есть до формирования и подписания спецификации № 14 к договору аренды от 08 апреля 2022 года (нотариально заверенный Протокол осмотра информационного ресурса мессенджера № 77АД 3717701; нотариально заверенный Протокол осмотра информационного ресурса мессенджера № 77АД 3717716). С учетом указанных обстоятельств, суд области сделал правильный вывод о том, что спорная схема расстановки опалубки использовалась сторонами договора исключительно для расчета потребности ответчика (арендатора) в количестве и номенклатуре элементов опалубки исходя из потребности и заказе ответчика. При таких обстоятельствах довод ответчика о предоставлении в пользование имущества по договору с недостатками правомерно отклонен арбитражным судом, как несостоятельный. В соответствии со ст. 71 АПК РФ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Арбитражный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Оценив достаточность и взаимную связь доказательств в их совокупности в порядке ст. 71 АПК РФ , учитывая вышеизложенные обстоятельства, суд первой инстанции пришел к обоснованному выводу о наличии правовых оснований для взыскания с арендатора в пользу арендодателя 9 914 009 руб. задолженности за пользование имуществом, 1 772 158 руб. 29 коп. пени за нарушение срока его оплаты, начисленной за период с 10.02.2022 по 24.01.2023, исключая период моратория на банкротство, 3 904 595 руб. стоимости невозвращенного имущества по договору, отнеся на ответчика судебные расходы по делу. Доводы заявителя апелляционной жалобы о том, что заключение экспертов не соответствует нормам действующего законодательства, являются необоснованными и подлежат отклонению. Суд первой инстанции, в компетенцию которого входит оценка доказательств, установил, что экспертное заключение соответствует требованиям статей 83 , 86 Арбитражного процессуального кодекса Российской Федерации, отражает все предусмотренные законом сведения, является ясным и полным, не содержит противоречий и не вызывает сомнений в их обоснованности. Выводы, содержащиеся в экспертном заключении, надлежащими доказательствами не опровергнуты. С учетом изложенного, заключение экспертов признано судом области допустимым доказательством по делу. Несогласие подателя апелляционной жалобы с выводами экспертов, иное их толкование, само по себе не свидетельствует о недостаточной полноте или ясности судебной экспертизы. В целом доводы, изложенные в апелляционной жалобе, по существу сводятся к несогласию ответчика с указанными выше обстоятельствами, признанными судом первой инстанции установленными, и направлены на переоценку представленных в материалы дела доказательств. Данные доводы не опровергают выводов суда первой инстанции, не свидетельствуют о неправильном применении и нарушении им норм материального и процессуального права, а, по сути, выражают несогласие с указанными выводами, что не может являться основанием для отмены обжалуемого судебного акта. Все доводы и аргументы заявителя апелляционной жалобы проверены судом апелляционной инстанции, признаются несостоятельными и не подлежащими удовлетворению, поскольку не опровергают законности принятого по делу судебного акта и основаны на неверном толковании норм действующего законодательства, обстоятельств дела. В силу изложенного суд апелляционной инстанции считает, что выводы суда первой инстанции основаны на полном и всестороннем исследовании материалов дела и конкретных обстоятельствах, доводы лиц, участвующих в деле правильно оценены, выводы сделаны при правильном применении норм действующего законодательства. Нарушений процессуальных норм, влекущих безусловную отмену судебного акта (часть 4 статьи 270 Арбитражного процессуального кодекса Российской Федерации), не установлено. С учетом изложенного, оснований для отмены обжалуемого решения арбитражного суда и удовлетворения апелляционной жалобы не имеется. В соответствии со статьей 110 , частью 3 статьи 271 Арбитражного процессуального кодекса Российской Федерации расходы по уплате государственной пошлины за подачу апелляционной жалобы подлежат отнесению на заявителя. Руководствуясь статьями 266 , 268 , 269 , 271 Арбитражного процессуального кодекса Российской Федерации, Двадцатый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