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Какова рыночная стоимость на дату отчуждения 10 октября 2021 года транспортного средства: КАМАЗ 65116, VIN &lt;***&gt;, год выпуска 2005 г., государственный регистрационный знак Р 980 Н Х34?». Экспертным учреждением представлено заключение судебной экспертизы от 23.01.2024 №Н-525, в котором экспертом сделаны следующие выводы: Рыночная стоимость транспортного средства Марка: КАМАЗ 36460, VIN &lt;***&gt;, год выпуска 2007 г., государственный регистрационный знак &lt;***&gt; составляет 1 323 000 руб., Рыночная стоимость транспортного средства Марка: КАМАЗ 65116, VIN &lt;***&gt;, год выпуска 2005 г., государственный регистрационный знак Р 980 НХ34 составляет 1 348 000 руб. Заявитель апелляционной жалобы, ссылаясь на то, что данная экспертиза происходила без фактического осмотра технического состояния спорных транспортных средств, доказательств, опровергающих выводы эксперта, в материалы дела не представил, заявленные доводы свидетельствуют лишь о несогласии заявителя с определенной стоимостью спорных объектов, установленной судебной экспертизой. Доказательства неисправного технического состояния или доказательств наличия каких-либо дефектов (недостатков) у спорных транспортных средствах на момент их отчуждения отцу должника, а также доказательств иной рыночной стоимости автомобиля на дату отчуждения заявителем апелляционной жалобы не представлено. Ходатайств о назначении повторной или дополнительной судебной экспертизы лицами, участвующим ив деле, не заявлено. Суд апелляционной инстанции, исследовав заключение судебной экспертизы от 23.01.2024 №Н-525, соглашается с выводом суда первой инстанции о том, что повторная экспертиза была назначена судом и проведена с соблюдением требований процессуального закона, заключение эксперта соответствует требованиям статьи 86 АПК РФ , требованиям Федерального закона от 31.05.2001 № 73-ФЗ «О государственной судебно-экспертной деятельности в Российской Федерации», выводы эксперта не вызывают сомнений и двойственности толкования, в связи с чем у суда первой инстанции отсутствовали основания не доверять выводам, содержащиеся в заключении эксперта. С учетом изложенного суд первой инстанции пришел к обоснованному выводу о том, что в результате заключения бывшей супругой договора купли-продажи указанного транспортного средства кредиторам должника были причинены убытки, поскольку продажная стоимость указанного имущества была значительно занижена, в результате сделок конкурсная масса должника уменьшена. На момент совершения оспариваемых сделок у должника имелись кредиторы, обоснованность требований которых подтверждена в рамках настоящего дела о банкротстве соответствующими судебными актами. В реестр требований кредиторов должника включены кредиторы третьей очереди на общую сумму — 10 420 349,58 руб. Таким образом, финансовым управляющим ФИО3 представлены надлежащие доказательства того, что отчуждение транспортного средства по заведомо заниженной цене при отсутствии для продавца (должника) экономической целесообразности сделки на согласованных сторонами условиях, направленное на уменьшение активов должника и, следовательно, на нарушение прав и законных интересов кредиторов должника. При таких обстоятельствах суд первой инстанции пришел к правильному выводу о наличии оснований для признания оспариваемых сделок недействительными. Применяя последствия недействительности сделок, суд первой инстанции посчитал, что доказательства осуществления Покупателем обязанности по оплате стоимости реализованного по указанному договору отсутствуют. В то же время, суд апелляционной инстанции не может согласиться с выводом суда первой инстанции в части применения односторонней реституции. Согласно пункту 2 статьи 61.6 Закона о банкротстве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2 статьи 61.2 и пункта 3 статьи 61.3 настоящего Федерального закона,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В данном случае в материалах дела представлены копии договоров купли-продажи транспортного средства от 10.10.2021, согласно условиям данного договора цена определятся в сумме 100 000 руб., текст договора, подписанный со стороны двух физических лиц, содержит указание о получении продавцом денежных средств в сумме 100 000 руб. по каждому договору. Судом апелляционной инстанции учитывается, что цена договора не является значительной для гражданина, ФИО2 мог располагать указанной суммой, факт передачи денежных средств зафиксирован в тексте договоров, заключенных между двумя физическими лицами, в этой связи сами договоры являются распиской, первичным финансовым документом, подтверждающим оплату транспортного средства. С учетом изложенного суд апелляционной инстанции считает, что обжалуемое определение подлежит изменению в части применения последствий недействительности сделки в виде двусторонней реституции. В соответствии с частью 1 статьи 177 АПК РФ постановление,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Руководствуясь статьями 268 - 272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