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случае, если причиной возникновения протечки (затопления) в нежилом помещении является некачественный монтаж оконных (витражных) конструкций, определить способы устранения выявленных недостатков (ремонт, замена и пр.) и стоимость их устранения?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Определить стоимость восстановительного ремонта торгового помещения и стоимость восстановительного ремонта торговой мебели (витрин), пострадавших в результате протечки (затопления) нежилого помещения?». В результате проведенной экспертом судебной экспертизы № 02/16 от 04.03.2024 г. было установлено, что затопление нежилого помещения № 1002, расположенном по адресу: &lt;...&gt; марте 2023 года произошло вследствие проникновения талой воды через монтажный шов витражного остекления тамбура. Сбор талой воды вдоль примыкания витражей к бетонному основанию вызвано нарушением уклона прокладки перед помещением. По второму вопросу, эксперт указала, что устранение комплексной причины возникновения протечки возможно при производстве мероприятий устраняющих уклон площадки к витражу и гидроизоляции места примыкания витража к основанию. И по третьему вопросу, эксперт определила стоимость восстановительного ремонта торговой мебели, что составила 41 746 руб. При этом, в ходе опроса в судебном заседании эксперта, ФИО3 пояснила, что сама рама и стеклопакет являются герметичными, подтекание и попадание влаги происходит под дверью и под конструкцией в углах и местах примыкания рамы к основанию. При изучении и проведении наружных замеров уклона тротуара эксперт установила, что перед витражным остеклением создано углубление, которое и является зоной скопления талой воды при обильном таянии снега. Сама рама смонтирована на брусчатку, при этом отсутствуют слои монтажных швов и герметизация стыков, что само по себе указывает на отсутствие герметичности витражных конструкций. Принимая во внимание выводы экспертного заключения, истец заявил уточнение исковых требований, выбрав законное право требования безвозмездного устранения недостатков, а именно просил обязать ответчика устранить недостатки выполненных строительно-монтажных работ путем выполнения гидроизоляции мест примыкания витража к основанию нежилого помещения и исправить уклон отмостки, которое в порядке статьи 49 АПК РФ судом было принято. Ответчик настаивал о назначении повторной судебной экспертизы, мотивировал свое ходатайство тем, что экспертом не в полном объеме исследованы повреждения торгового помещения, а при указании причин проникновения в помещение талой воды не указаны все необходимые мероприятия для герметизации конструкций, не указана высота отмостки в настоящее время и на какую высоту необходимо ее поднять. Суд отклонил ходатайство ответчика, поскольку экспертом как в заключении, так и в устных пояснениях в полной мере даны ответы на поставленные судом вопросы. Вопрос об установлении всех необходимых мероприятий, в том числе расчетных данных не являлся предметом рассмотрения настоящего спора, а при назначении судебной экспертизы, вопрос о замерах перед экспертом не ставился. Вместе с тем, экспертом составлена ведомость рекомендуемых работ по устранению недостатков (страница 11 заключения). Следовательно, судом были отклонены возражения ответчика в части назначения по делу повторной судебной экспертизы, поскольку само по себе несогласие ответчика с выводами судебной экспертизы не указывает на необходимость назначения по делу повторной экспертизы. При таких обстоятельствах оценка требований и возражений сторон осуществляется судом с учетом положений статьи 65 АПК РФ о бремени доказывания, исходя из принципа состязательности, согласно которому риск наступления последствий несовершения соответствующих процессуальных действий несут лица, участвующие в деле (часть 2 статьи 9 АПК РФ ). Согласно частям 6, 7, 8 статьи 55.24 Градостроительного кодекса Российской Федерации (далее - ГрК РФ) в целях обеспечения безопасности зданий, сооружений в процессе их эксплуатации должны обеспечиваться техническое обслуживание зданий, сооружений, эксплуатационный контроль, текущий ремонт зданий, сооружений. Эксплуатационный контроль за техническим состоянием зданий, сооружений проводится в период эксплуатации таких зданий, сооружений путем осуществления периодических осмотров, контрольных проверок и (или) мониторинга состояния оснований, строительных конструкций, систем инженерно-технического обеспечения и сетей инженерно-технического обеспечения в целях оценки состояния конструктивных и других характеристик надежности и безопасности зданий, сооружений, систем инженерно-технического обеспечения и сетей инженерно-технического обеспечения и соответствия указанных характеристик требованиям технических регламентов, проектной документации. Техническое обслуживание зданий, сооружений, текущий ремонт зданий, сооружений проводятся в целях обеспечения надлежащего технического состояния таких зданий, сооружений. Под надлежащим техническим состоянием зданий, сооружений понимаются поддержание параметров устойчивости, надежности зданий, сооружений, а также исправность строительных конструкций, систем инженерно-технического обеспечения, сетей инженерно-технического обеспечения, их элементов в соответствии с требованиями технических регламентов, проектной документации. Эксплуатация МКД осуществляется с учетом требований жилищного законодательства (часть 10 статьи 55.24 ГрК РФ). Состав минимального перечня необходимых для обеспечения надлежащего содержания общего имущества в МКД услуг и работ, порядок их оказания и выполнения устанавливаются Правительством Российской Федерации (часть 1.2 статьи 161 ЖК РФ ). Проанализировав материалы дела в порядке статьи 71 АПК РФ , арбитражный суд пришел к выводу о том, что недостатки, выраженные в виде залива торгового помещения, расположенного по адресу РТ, &lt;...&gt; произошли вследствие некачественно выполненных работах по установке витражных конструкций, а именно проникновение талой воды через монтажный шов витражного остекления тамбура происходит ввиду отсутствия необходимого уклона площадки от витражного основания. Следовательно, ответчику надлежит устранить недостатки выполненных строительно-монтажных работ путем выполнения гидроизоляции мест примыкания витража к основанию нежилого помещения и исправить уклон отмостки у нежилого помещения №1002, расположенного по адресу &lt;...&gt;, с установлением срока для устранения недостатков – 20 рабочих дней с момента вступления в законную силу настоящего решения. Вместе с тем, истцом также заявлено требование о взыскании 41 746 руб. (с учетом уточнения) стоимости восстановительного ремонта торговой мебели (витрин). Как было указано выше, в результате залива, причиной которого явилось ненадлежащее выполненные строительные работы ответчиком, были деформированы объекты мебели истца, а именно витрина с полками из стекла (1000*4150*2200) в количестве 3 штук, демонстрационная витрина (500*500*750) в количестве 1 штука, витрина с полками из стекла (1000*400*2200). Стоимость восстановительного ремонта поврежденной мебели, согласно экспертному заключению составила 41 746 руб. Исковые требования в указанной части также удовлетворены судом в заявленном (уточненном) размере. Доводы, изложенные в апелляционной жалобе, не доказывают нарушения судом первой инстанции норм материального или процессуального права либо несоответствие выводов суда фактическим обстоятельствам дела, всем доводам в решении была дана надлежащая правовая оценка. Ходатайство о назначении по делу повторной судебной экспертизы в суде апелляционной инстанции не заявлено. Оценив заключение эксперта, судебная коллегия соглашается с оценкой этого доказательства судом первой инстанции как надлежащего. В заключении эксперта отражены все предусмотренные частью 2 статьи 86 АПК РФ сведения, экспертное заключение основано на материалах дела, является ясным и полным. Надлежащих доказательств и соответствующих им обстоятельств, наличие которых могло бы свидетельствовать о неверно избранной экспертом, осуществившим в рамках назначенной арбитражным судом судебной экспертизы, методике исследования, не выявлено. Доказательств того, что при проведении судебной экспертизы были допущены нарушения, лишающие полученное по ее результатам заключение доказательственной силы, суду не представлено. В заключении эксперта указаны средства и методы, использованные в исследовании, экспертом изучены предоставленные в его распоряжение документы. Выводы в достаточной степени являются мотивированными, не имеют противоречий и не вызывают сомнений в объективности и квалификации эксперта. Оснований сомневаться в достоверности выводов судебной экспертизы, выполненной экспертом, предупрежденным об уголовной ответственности за дачу заведомо ложного заключения, у суда не имеется. Доводы заявителя жалобы о нарушении судом положений ст. 49 АПК РФ , о том, что судом в нарушение процессуального закона принял одновременное изменение предмета и основания иска, ошибочны. Из материалов дела следует, что на протяжении рассмотрения дела основания иска – т.е. фактические обстоятельства, оставались неизменными (повреждение имущества, необходимость несения затрат по восстановительному ремонту). Судебная коллегия обращает внимание на то, что судебная экспертиза была проведена по инициативе ответчика и с целью проверки его возражений относительно причин залива помещения и размера убытков. Изменение требований обусловлено наличием заключения судебной экспертизы, ходатайство истца соответствовало положениям ст. 49 АПК РФ . Суд апелляционной инстанции считает доводы, изложенные в апелляционной жалобе, по существу направленными на переоценку установленных по настоящему делу обстоятельств и фактических отношений сторон, которые являлись предметом исследования по делу и получили надлежащую правовую оценку в соответствии со статьей 71 Арбитражного процессуального кодекса Российской Федерации. Учитывая, что заявитель в апелляционной жалобе не ссылается на доказательства, и не приводит доводы, которые бы не были учтены и оценены судом первой инстанции, равно как и доказательства, которые бы опровергали выводы суда первой инстанции, апелляционный суд приходит к выводу о том, что дело рассмотрено судом первой инстанции полно и всесторонне, нормы материального и процессуального права не нарушены, выводы суда о применении норм права соответствуют установленным по делу обстоятельствам и имеющимся доказательствам, в связи с чем, не имеется правовых оснований для удовлетворения апелляционной жалобы. При обращении с апелляционной жалобой заявитель оплатил пошлину в сумме 3000 рублей платежным поручением от 11.06.2024 №98. В соответствии со статьей 110 Арбитражного процессуального кодекса Российской Федерации расходы по государственной пошлине за подачу апелляционной жалобы возлагаются на заявителя. руководствуясь статьями 110 , 266 - 271 Арбитражного процессуального кодекса Российской Федерации,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