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237751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Полная стоимость кредита на дату заключения кредитного договора составляет 12, 54 процентов годовых.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Перечень и размеры платежей, включенных в расчет полной стоимости кредита: - погашение основной суммы долга по кредиту – 7 300 000 руб.; - оплата страховой премии – 1,5 процентов от суммы кредита, увеличенной на размер действующей процентной ставки. Для расчета использовались тарифы ООО СК «Оранта», действующие на дату подписания настоящего приложения. В случае обращения заемщиков к услугам иного лица размер полной стоимости кредита может отличаться от расчетного; - оплату услуг независимого оценщика за составление отчета об оценке рыночной стоимости квартиры – 4 000 руб. Для расчета использовались тарифы ООО «Страховая брокерская компания Инфостах», действующие на дату подписания настоящего приложения. В случае обращения заемщиков к услугам иного лица размер полной стоимости кредита может отличаться от расчетного; - оплата услуг нотариуса – 700 руб. В обеспечение исполнения обязательств по указанному договору в залог Банку предоставлено следующее имущество: квартира, общая площадь 107,5 кв. м, расположенная по адресу: &lt;...&gt;. Рыночная стоимость предмета залога в соответствии с Отчетом об оценке № А-09-23-1 от 23.09.2011, по состоянию на 23.09.2011, составляла 11 000 000 руб. (пункт 1.3. договора залога). По соглашению сторон установлена оценочная (залоговая) стоимость Предмета залога в размере 11 000 000 руб. (пункт 1.4. договора залога). Договор залога от 06.10.2011 года подписан в двустороннем порядке, от Залогодателя – лично ФИО1 10 января 2017 г. между АО «Нордеа Банк» и ПАО «Совкомбанк» заключен договор уступки требования (цессии) № 2, в соответствии с пунктом 1.1. которого, Цедент (АО «Нордеа Банк») уступает цессионарию (ПАО «Совкомбанк») в полном объеме все права требования к заемщикам, основанные на кредитных договорах с физическими лицами. Поскольку должником нарушаются обязательства, принятые по кредитному договору &lt;***&gt;, образовалась задолженность в размере 3 180 365,97 руб., из которых: 2 522 332,48 руб. – просроченная ссудная задолженность, 425 657,22 руб. – просроченные проценты, 144 437,09 руб. – неустойка на просроченную ссуду, 87 939,18 руб. – штрафные санкции по уплате процентов, кредитор обратился в арбитражный суд с заявлением о признании его требования в указанном размере обоснованным и подлежащим включению в реестр требований кредиторов должника, как обеспеченного залогом имущества должника. Разрешая данный обособленный спор, суды первой и апелляционной инстанций, руководствуясь положениями пункта 1 статьи 100, пункта 2 пункта 2 статьи 138, статьи 213.8, пункта 4 статьи 213.24 Федерального закона от 26.10.2002 № 127-ФЗ «О несостоятельности (банкротстве)» (далее – Закон о банкротстве), статей 309 , 310 , 334 , статьи 337 , пункта 1 статьи 339 , пункта 1 статьи 809 , статьи 819 Гражданского кодекса Российской Федерации (далее – ГК РФ), исходя из доводов и возражений лиц, оценив в совокупности представленные в материалы данного спора доказательства, проверив расчет кредиторской задолженности, представленной должником и кредитором, установив, что согласно представленной в материалы дела выписки из ЕГРН от 27.07.2023 предмет залога – квартира, по настоящее время зарегистрирован за ФИО1, пришли к выводу о признании обоснованным требования кредитора и подлежащим включению в третью очередь реестра требований кредиторов, как обеспеченного залогом имущества должника. Судебная коллегия соглашается с выводами судебных инстанций. При оценке доводов финансового управляющего и должника о несоразмерности стоимости залогового имущества и остатка задолженности по кредиту, а также не представление кредитором в материалы дела Отчета об оценке рыночной стоимости имущества, суды установили, что стоимость передаваемого в залог имущества была согласована сторонами в договоре залога. Договор недействительным либо расторгнутым не признавался. При этом суды установили, что договор уступки права требования (цессии) не признан недействительным в установленном законом порядке; доказательства нарушения требований закона, иных правовых актов в результате уступки права требования не представлены. При этом доказательств оплаты ОАО «Нордеа Банк» кредита после заключения договора уступки ни должником, ни финансовым управляющим не представлено. Относительно доводов о повышенных процентах, суды указали, что согласно выписки (Приложение № 1 к дополнительному соглашению № 1 от 10.01.2017 к договору уступки требования (цессии) № 1 от 10.01.2017), ПАО «Совкомбанк» передано право требования к ФИО1 по кредитному договору &lt;***&gt; от 06.10.2011, текущая процентная ставка на дату перехода – 15,58%, ссудная задолженность (задолженность по основному долгу) по состоянию на дату перехода прав – 4 909 703,76 руб. Проверив расчет задолженности, представленный кредитором, суд первой инстанции признал его арифметически верным, соответствующим условиям заключенного договора, отклонив доводы должника и финансового управляющего относительно отсутствия в материалах дела выписки по счету должника о размере поступивших оплат, поскольку выписка была представлена кредитором совместно с заявлением о включении требования в реестр требований кредиторов посредством сервиса «Мой Арбитр» 26.06.2023. В части проверки доводов о начисленных Банком процентах, суды установили, что, исходя из пункта 2.4.1. кредитного договора фиксированная ставка в размере 10% годовых действует в течение 48 месяцев с даты предоставления кредита, то есть до 07.11.2015. В соответствии с пунктом 2.4.2. кредитного договора, начиная с даты, следующей за датой окончания срока действия фиксированной ставки, определенной в соответствии с пунктом 2.4.1. настоящего договора, в размере ставки MosPrime Rat, увеличенной на 5 процентных пунктов. Величина, на которую увеличивается ставка MosPrime Rat при определении процентной ставки за пользование кредитом по настоящему договору, именуется в дальнейшем – «Маржа». Ключевая ставка ЦБ РФ - это процентная ставка по основным операциям Банка России по урегулированию ликвидности банковского сектора, которая является основным индикатором кредитно-денежной политики. Ключевая ставка - это ставка, по которой Центральный банк России предоставляет кредиты коммерческим банкам в долг на одну неделю, и одновременно та ставка, по которой ЦБ РФ готов принимать от банков на депозиты денежные средства. Она играет роль при установлении процентных ставок по банковским кредитам и оказывает влияние на уровень инфляции и стоимость фондирования банков (информация Банка России от 13.09.2013 «О системе процентных инструментов денежно-кредитной политики Банка России», опубликованная в Вестнике Банка России, № 51,18.09.2013). Увеличение ключевой ставки приводит к резкому удорожанию кредитов, полученных/получаемых у Центрального Банка России, что не может не привести в свою очередь к повышению процентных ставок по кредитным договорам, заключенным/заключаемым кредиторами с физическими либо юридическими лицами. MosPrime Rate - независимая индикативная ставка предоставления рублёвых кредитов (депозитов) на денежном рынке. Данный показатель формируется Национальной финансовой ассоциацией на основе ставок предоставления рублёвых кредитов (депозитов), объявляемых банками-ведущими участниками российского денежного рынка первоклассным финансовым организациям со сроками «overnight», 1 неделя, 2 недели, 1, 2, 3 и 6 месяцев. С учетом вышеизложенного, суды пришли к выводу, что установленные процентные ставки в последующие периоды по спорному кредитному договору соответствует уровню процентных ставок, установленных ведущими банками России, а также значениями MosPrime Rate в соотношении с условиями кредитного договора. Как разъяснил Высший Арбитражный Суд Российской Федерации в своем информационном письме от 13.09.2011 № 147 «Обзор судебной практики разрешения споров, связанных с применением положений Гражданского кодекса Российской Федерации о кредитном договоре» при реализации предусмотренного кредитным договором права в одностороннем порядке изменять условия кредитования банк должен действовать, исходя из принципов разумности и добросовестности. Как следует из Постановления Высшего Арбитражного Суда Российской Федерации № 13567/11 от 06.03.2012, заемщик, выражая несогласие с изменением процентной ставки, должен представить суду доказательства того, что изменением процентной ставки был нарушен разумный баланс интереса сторон и такое изменение процентной ставки ведет к установлению неразумных ограничений для заемщика. При этом, суды указали, что в условиях отсутствия стабильности цены актива (рубля) не только банку, но и заемщику следует оценивать степень рискованности открытия сделки, учитывать финансовые риски, принимая обязательства по договору с правом банка на изменение его условий в одностороннем порядке. Принимая меры к сохранению доходности, банк не выходит за пределы разумного поведения, не нарушает принципы добросовестности, такое поведение с учетом функционирования денежного рынка в условиях нестабильности и негативных курсовых тенденций является обычным и закономерным. С учетом вышеизложенного, суды пришли к выводу, что должнику было известно об установленных процентных ставках, что подтверждается представленными в материалы дела должником справками ПАО «Совкомбанк» от 01.03.2019, 08.07.2017, между тем, должник в установленном законом порядке действия Банка не оспаривал. В связи с изложенным, суды пришли к выводу, что доводы должника о необоснованном увеличении процентной ставки за пользование кредитом, злоупотреблении банком своими правами, не нашли своего подтверждения. В целях проверки доводов должника о том, что расчет задолженности, произведенный Банком, является неверным, существенно завышенным, судом апелляционной инстанции было предложено должнику составить свой контр-расчет, с указанием размера оставшейся непогашенной по кредитному договору суммы. Должником представлен свой расчет, согласно которому размер неоплаченной задолженности составляет 1 669 175,28 руб., при этом должник указывал, что средняя величина ставки должна составлять 12,19%, соответственно с момента передачи прав требования к ПАО «Совкомбанк» в январе 2017 г. остаток непогашенной суммы должен составлять 6 625 556,22 руб., при этом, им оплачено 4 956 380,94 руб., соответственно задолженность должна составлять 1 669 175,28 руб. В ответ на данный расчет Банк представил свои пояснения, где указал, что с расчетом должника не согласен, утверждает, что именно его расчет является правильным и соответствует условиям кредитного договора. Суд апелляционной инстанции, сопоставив расчеты, представленные Банком и должником, установил, что расчет, представленный Банком является арифметически верным. При этом судом апелляционной инстанции учтено, что права требования к должнику от АО «Нордеа Банк» к ПАО «Совкомбанк» перешли 10.01.2017, и на тот момент задолженность по кредиту составляла 4 909 703,26 руб., что усматривается из Приложения к договору уступки прав от 10.01.2017 с размером процентов в 15,58%, (л.д. 41) Расчет процентов по кредиту подробно изложен в пункте 2.4.1 кредитного договора (л.д.204), поэтому с учетом остатка неоплаченной суммы 4 909 703,26 руб., помноженной на проценты за пользование кредитом, которые в среднем составляли 15,59%, (проценты по «МосПраймРейт» на 10.01.2017 (л.д. 233), увеличенные на 5 пунктов, как предусмотрено в кредитном договоре), размер задолженности (сам кредит и проценты по нему), рассчитанный с помощью кредитный калькулятора КонсультантПлюс (л.д. 209) сопоставим размеру задолженности, рассчитанному Банком (л.д. 215), учтены и штрафные санкции за просрочку платежа. При оценке доводов должника, что на момент передачи прав от АО «Нордеа банк» к ПАО «Совкомбанк» размер задолженности на 10.01.2017 составлял не 4 909 703,26 руб. (л.д. 148), а 4 718 724 руб., как указано в Графике платежей по кредитному договору (л.д. 146, оборот), т.к. у него не было просрочки платежей, суд апелляционной инстанции установил, что, исходя из этого же Графика платежей, который предполагал ежемесячный платеж в 92 170 руб. и реального погашения кредита, отраженного в Расчете Банка, на который ссылается сам должник (л.д. 149), ежемесячный план по погашению долга в 92 170 руб. не всегда выполнялся, т.е. должник в определенные периоды выплачивал Банку меньше положенного, поэтому сумма 4 909 703,26 руб., указанная в реестре о передаче долга к ПАО «Совкомбанк», соответствует действительности. При этом судом апелляционной инстанции было установлено, что и в последующем должником также не выполнялся план по погашению кредита: согласно Графика погашения кредита (л.д. 149-150), должник в определенные периоды платил меньше чем 92 170 руб., суммы, определенной по Графику платежей, что предполагает начисление, в том числе, штрафных санкций за просрочку платежей. Исходя из расчета Банка, штрафные санкции ему также начислены. Таким образом, оценив в совокупности все представленные ы материалы данного обособленного спора доказательства, с учетов доводов и возражений лиц, проверив расчеты, представленные должником и кредитором, суд апелляционной инстанции, соглашаясь с выводами суда первой инстанции, пришел к выводу, что установленные обстоятельства в своей совокупности опровергают доводы должника о неправильном расчете Банком задолженности по кредиту. Судебная коллегия суда кассационной инстанции соглашается с выводами судов первой и апелляционной инстанций, не усматривая оснований для их переоценки, поскольку названные выводы в достаточной степени мотивированы, соответствуют нормам права. Доводы, приведенные в кассационной жалобе, относительно необоснованно увеличения процентов по кредиту, подлежат отклонению, поскольку были предметом рассмотрения судов первой и апелляционной инстанций, получили надлежащую правовую оценку и обоснованно отклонены. При этом кассационная жалоба не содержит указания на наличие в материалах дела каких-либо доказательств, опровергающих выводы судов, которым не была бы дана правовая оценка судом первой инстанции и судом апелляционной инстанции. Поскольку судами правильно применены нормы материального права, выводы судов соответствуют фактическим обстоятельствам и основаны на всестороннем, полном, объективном и непосредственном исследовании имеющихся в деле доказательств, нарушений норм процессуального права, в том числе влекущих безусловную отмену судебных актов в силу части 4 статьи 288 АПК РФ , не установлено, основания для отмены обжалуемых судебных актов и удовлетворения кассационной жалобы отсутствуют. На основании изложенного и руководствуясь статьями 286 , 287 , 289 , 290 Арбитражного процессуального кодекса Российской Федерации, Арбитражный суд Поволжского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