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Рассмотрение вопроса о предоставлении замещающего товара. В соответствии с пунктом 1 статьи 469 ГК РФ продавец обязан передать покупателю товар, качество которого соответствует договору купли-продажи. При отсутствии в договоре купли-продажи условий о качестве товара продавец обязан передать покупателю товар, пригодный для целей, для которых товар такого рода обычно используется. Если продавец при заключении договора был поставлен покупателем в известность о конкретных целях приобретения товара, продавец обязан передать покупателю товар, пригодный для использования в соответствии с этими целями (пункт 2 статьи 469 ГК РФ ). Согласно пунктам 1, 2 статьи 470 ГК РФ товар, который продавец обязан передать покупателю, должен соответствовать требованиям, предусмотренным статьей 469 данного Кодекса, в момент передачи покупателю, если иной момент определения соответствия товара этим требованиям не предусмотрен договором купли-продажи, и в пределах разумного срока должен быть пригодным для целей, для которых товары такого рода обычно используются. Понятие «качество товара» подразумевает совокупность свойств, признаков продукции, товаров, услуг, работ, обусловливающих их способность удовлетворять потребности и запросы покупателя, соответствовать своему назначению и предъявляемым требованиям. Качество определяется мерой соответствия товаров, работ, услуг условиям и требованиям стандартов, договоров, запросов потребителей. Из положений статьи 476 ГК РФ следует, что бремя доказывания причин возникновения недостатков товара распределяется между сторонами договора купли-продажи в зависимости от того, установлен ли на товар гарантийный срок. Если гарантийный срок на товар установлен, то при обнаружении некачественности товара в течение гарантийного срока предполагается, что недостатки возникли до передачи товара и за них отвечает продавец, пока им не доказано обратное. Таким образом, если гарантийный срок на товар не установлен, то при обнаружении некачественности товара, пока иное не доказано покупателем, предполагается, что недостатки возникли после передачи товара продавцом покупателю в связи с неправильной эксплуатацией или хранением товара, либо действиями третьих лиц, либо непреодолимой силы. Положения статьи 670 ГК РФ закрепляют за арендатором (лизингополучателем) право на предъявление к продавцу требований, связанных с качеством предмета лизинга. Как указывалось ранее, арендатор вправе предъявлять непосредственно продавцу имущества, являющегося предметом договора финансовой аренды, требования, вытекающие из договора купли-продажи, заключенного между продавцом и арендодателем, в частности в отношении качества и комплектности имущества, сроков его поставки, и в других случаях ненадлежащего исполнения договора продавцом. При этом арендатор имеет права и несет обязанности, предусмотренные ГК РФ для покупателя, кроме обязанности оплатить приобретенное имущество, как если бы он был стороной договора купли-продажи указанного имущества. Положения статьи 393 ГК РФ обязывают должника возместить кредитору убытки, причиненные неисполнением или ненадлежащим исполнением обязательства, в том числе - в случае поставки товара ненадлежащего качества. В настоящем случае требование о замене товара ненадлежащего качества было сформировано истцом до окончания ремонта и фактического возврата товара ответчиком. Как указано ранее, 11.03.2024 товар возвращен истцу. Указанное обстоятельство сторонами не оспаривается. Как пояснил представитель истца в судебном заседании, требование о замене товара обусловлено тем, что изначально лизингополучателем приобретался новый товар, в то время как фактически, истец продолжает осуществляет платежи за товар, который был подвержен ремонту. Между тем, доказательств того, что седельный тягач после выполненного ремонта перестал по качеству, техническим характеристикам соответствовать договору лизинга в материалы дела не представлено. В настоящее время, как пояснил представитель истца в судебном заседании, транспортное средство исправно, эксплуатируется истцом. Более того, в судебном заседании представитель истца подтвердил, что в настоящее время оба автомобиля (SITRAK С7Н и DONGFENG GX) эксплуатируются одновременно, что, по мнению суда апелляционной инстанции, в принципе исключает возможность квалификации приобретенного товара (DONGFENG GX) как замещающего. С учётом изложенного, суд апелляционной инстанции соглашается с выводом суда первой инстанции об отсутствии оснований для удовлетворения исковых требований в указанной части.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Рассмотрение вопроса о взыскании убытков, вызванных приобретением замещающего товара. В соответствии со статьей 506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Как следует из пункта 12 Постановления Пленума Верховного Суда Российской Федерации № 25 от 23.06.2015 «О применении судами некоторых положений раздела I части первой Гражданского кодекса Российской Федерации»,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(пункт 2 статьи 15 ГК РФ ). Положениями пунктов 1 и 2 статьи 393 ГК РФ установлено, что должник обязан возместить кредитору убытки, причиненные неисполнением или ненадлежащим исполнением обязательства. Убытки определяются в соответствии с правилами, предусмотренными статьей 15 настоящего Кодекса. На основании пунктов 1 и 2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статей 15 и 393 ГК РФ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 ненадлежащим исполнением обязательства должником и названными убытками. Таким образом, для возмещения убытков, причиненных вследствие неисполнения либо ненадлежащего исполнения обязательств, в том числе из обязательств вследствие причинения вреда необходимо, наличие совокупности следующих условий: причинение вреда, противоправное поведение причинителя вреда, причинная связь между противоправным поведением и наступлением вреда, вина причинителя вреда. Как следует из искового заявления и ходатайства об уточнении исковых требований, истцом предъявлены требования о взыскании с ответчика убытков в виде уплаченных лизинговых платежей за аренду замещающего товара. Согласно пункту 10 Обзора судебной практики по спорам, связанным с договором финансовой аренды (лизинга), утвержденного Президиумом Верховного Суда Российской Федерации 27.10.2021, лизинговые платежи, уплаченные лизингодателю за период невозможности пользования предметом лизинга, не могут быть включены в состав убытков (реального ущерба) лизингополучателя, подлежащих взысканию с продавца за поставку товара ненадлежащего качества. В состав реального ущерба могут быть включены, в частности, расходы лизингополучателя на устранение недостатков предмета лизинга, аренду замещающего имущества. В соответствии со статьей 393.1 ГК РФ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Аналогичного содержания разъяснения приведены в пункте 12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Добросовестность кредитора и разумность его действий при заключении замещающей сделки предполагаются (пункт 5 статьи 10 , пункт 3 статьи 307 , статья 393.1 ГК РФ ). Должник вправе представить доказательства того, что кредитор действовал недобросовестно и/или неразумно и, заключая замещающую сделку,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(пункт 1 статьи 404 ГК РФ ). Из положений вышеуказанных норм права следует, что при взыскании убытков в порядке статей 393.1 , 524 ГК РФ в предмет доказывания входят обстоятельства неисполнения или ненадлежащего исполнения должником договора, что повлекло его досрочное прекращение и необходимость заключения кредитором взамен его аналогичного договора для приобретения у иного поставщика сопоставимых товаров, то есть наличие причинно-следственной связи между неисполнением должником обязательств по первоначальному договору и заключением кредитором замещающей сделки, факт приобретения кредитором сопоставимого товара взамен предусмотренного расторгнутым договором и по разумной цене в разумный срок. Согласно разъяснениям, изложенным в абзаце втором пункта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 установлении причинно-следственной связи между нарушением обязательства и убытками необходимо учитывать, в частности, то, к каким последствиям в обычных условиях гражданского оборота могло привести подобное нарушение. Если возникновение убытков, возмещения которых требует кредитор, является обычным последствием допущенного должником нарушения обязательства, то наличие причинно-следственной связи между нарушением и доказанными кредитором убытками предполагается. С учётом установленных по делу обстоятельств и вышеприведенных разъяснений Пленума Верховного суда Российской Федерации, суд апелляционной инстанции полагает, что в данном случае презумпция наличия причинно-следственной связи не может быть применена. Принимая во внимание изложенное, суд апелляционной инстанции не усматривает, что покупка иного транспортного средства является прямым следствием поставки ответчиком товара ненадлежащего качества. При этом суд также не исключает, что приобретение истцом иного транспорта могло быть вызвано иными причинами, например, стремлением истца расширить производственные мощности. Так, как уже было указано ранее, в настоящее время оба автомобиля эксплуатируются одновременно. Из пояснений представителя истца, данных в судебном заседании, следует, что на момент заключения замещающей сделки автопарк истца состоял как минимум из 20 единиц техники, из которых 6 единиц техники – тягачи, и 14 единиц техники – полуприцепы. Доказательства того, что указанную технику невозможно было эксплуатировать вместо спорного транспортного средства на время его ремонта в материалы дела не представлены. Заключение же иного договора лизинга во время нахождения транспортного средства в ремонте само по себе не свидетельствует о том, что необходимость в эксплуатации иного транспортного средства вызвана непосредственно недобросовестными ли неразумными действиями ответчика. Доводы заявителя апелляционной жалобы о том, что спорное транспортное средство приобреталось «под конкретную сделку», исполнение которой не могло быть обеспечено без использования иных доступных автомобилей, материалами дела не подтверждены. Кроме того, данное утверждение не соответствует обычной деловой практике, когда дорогостоящие предметы длительного использования/аммортизации (например, сложное оборудование, транспортные средства) приобретаются для ведения коммерческой деятельности в целом на долгий срок. Так, отдельный договор может прекратить сове действие, а транспортное средство продолжит использоваться при исполнении других договоров. При таких обстоятельствах, в отсутствие доказательств наличия причинно-следственной связи между действиями ответчика и наступлением у истца убытков, суд апелляционной инстанции приходит к выводу о недоказанности состава гражданско-правовой ответственности. С учётом указанных выводов, неотражение судом первой инстанции в обжалуемом судебном акте такого доказательства, как Аналитическое заключение о сумме расходов ООО «Алькон», не привело к принятию неверного по существу судебного акта, поскольку при отсутствии доказательств наличия причинно-следственной связи, сумма понесенных истцом расходов не имеет правового значения. Руководствуясь статьями 268 , 269 , 271 Арбитражного процессуального кодекса Российской Федерации, Третий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