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Товарно-транспортная накладная; 2.Путевой лист грузового автомобиля составленный между АО «БЕЛОМОРТРАЕНС» и ООО «Таас Юрях Нефтегазодобыча»; 3.Путевой лист грузового автомобиля, составленный между ИП ФИО1 (Истец) и АО «БЕЛОМОРТРАЕНС» (Ответчик); 4.Счет на оплату. Все вышеперечисленные документы получены Ответчиком и подписаны им без замечаний. Поскольку товарно-транспортные накладные, путевые листы оформлены (оформление таких документов является необходимым условием при оказании услуг по перевозке), Истец груз к перевозке принял и передавал его грузополучателю. Между Истцом и Ответчиком согласован маршрут перевозки груза, объем перевозимого груза. Предоставление транспортных средств происходило по устным заявкам Ответчика, в путевых листах имеются сведений о транспортных накладных, о маршрутах перевозки. Груз развозился непосредственно на основании распоряжений и под контролем Ответчика. Обязательные реквизиты в акте отражены, что свидетельствует о выполнении Истцом договора перевозки груза. Поскольку доказательств надлежащего исполнения обязательств ответчиком в суд не представлено, требования истца документально подтверждены, соответствуют условиям договора, факт нарушения ответчиком обязательств по договору является установленным, Арбитражный суд Москвы признал исковые требования обоснованными и подлежащими удовлетворению в полном объеме. Остальные доводы и доказательства, приведенные и представленные лицами, участвующими в деле, суд исследовал, оценил и не принимает ко вниманию в силу их малозначительности и/или безосновательности, а также в связи с тем, что по мнению суда, они отношения к рассматриваемому делу не имеют и (или) не могут повлиять на результат его рассмотрения. Рассмотрев дело в порядке ст. ст. 266 , 268 АПК РФ , заслушав представителей сторон, изучив материалы дела, обсудив доводы апелляционной жалобы, судебная коллегия не находит оснований для ее удовлетворения. Заявитель полагает, что суд первой инстанции неправомерно рассмотрел дело в отсутствие Ответчика, посчитав, что это обстоятельство не имеет решающие значение, чем нарушил принцип состязательности сторон. 14 июня 2024г. Ответчик обратился в суд с ходатайством об отложении судебного заседания, в связи с невозможностью обеспечить участие представителя истца, поскольку последний находится в командировке. В качестве подтверждения невозможности участия представителя ответчика, к ходатайству приложен приказ о командировке. Вместе с тем, к ходатайству об отложении заседания не приложены билеты или иные документы в обоснование ходатайства. Также заявитель не обосновывает причины невозможности явки другого представителя в судебное заседание. Кроме того, что настоящее дело рассматривается в Арбитражном суде города Москвы с 17 января 2024 года, и у ответчика имелось достаточно времени для того, чтобы изложить свою позицию и представить доказательства. Таким образом, ходатайство ответчика об отложении судебного разбирательства судом первой инстанции было рассмотрено, с учетом необходимости соблюдения сроков рассмотрения дела, и прав участвующих в деле лиц на судопроизводство в разумный срок, и правомерно отклонено. Отложение рассмотрения спора на основании части 3 статьи 158 Арбитражного процессуального кодекса Российской Федерации является не обязанностью, а правом суда, предоставленным законодательством для обеспечения возможности полного и всестороннего рассмотрения дела. Ответчик полагает, что представленные истцом документы не могут достоверно подтвердить их соответствие договору и спорному периоду. Ответчик ссылается на пункт 39.17 Договора №БМТ-11/2023 от 03.02.2023г. ссылаясь на то, что представленные Истцом документы не содержат следующие обязательные реквизиты: -Наименование документа; -Дату составление документа; -Наименование экономического субъекта, составившего документ; -Содержание факта хозяйственной жизни; -Величину натурального и (или) денежного измерения факта хозяйственной жизни с указанием единицы измерения; -Наименование должностного лица, совершившего (совершивши) сделку, операцию и ответственного (ответственных) за оформление свершившего события; -Подпись лиц, предусмотренных предыдущим пунктом, с указанием их фамилии и инициалов либо иных реквизитов, необходимых для идентификации этих лиц. Однако в ходе судебного заседания, состоявшегося 17 июня 2024 года в Арбитражном суде города Москвы, были рассмотрены представленные истцом первичные документы, которые обосновывают его требования, изложенные в исковом заявлении. В результате было установлено, что все реквизиты, указанные в договоре, присутствуют в представленных документах. При указанных обстоятельствах апелляционный суд приходит к выводу, что доводы жалобы не могут являться основанием для отмены либо изменения законного и обоснованного решения суда. Руководствуясь ст.ст. 266 , 267 , 268 , 269 , 271 Арбитражного процессуального кодекса Российской Федерации, Девятый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