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Раствор По основному назначению раствор требуется кладочный. Раствор тяжелый или легкий. По применяемым вяжущим раствор простой или сложный. Марка раствора по прочности на сжатие в проектном возрасте не менее М200. Марка раствора по морозостойкости раствора должна быть не выше F100. В качестве заполнителя песок для строительных работ. Наибольшая крупность зерен заполнителя не более 2,5 мм. Марка по подвижности Пк2 или Пк1. В качестве вяжущих материалов портландцемент и/или шлакопортландцемент и/или цемент для строительных растворов. ГОСТ 28013-98 Согласно пункту 5 Инструкции предлагаемые участником значения должны соответствовать требованиям заказчика и предоставляться участником с учётом норм государственных стандартов, если требование о соответствии такому стандарту содержится в требованиях по товару, характеристике или техническом задании, за исключением если государственный стандарт утратил силу. Участнику следует указать в заявке о соответствии товара государственному стандарту, если требование такого соответствия содержится в требованиях по товару или характеристике. Таким образом, по мнению Заказчика в силу пункта 5 Инструкции участнику следует указать в заявке о соответствии товара государственному стандарту, если требование такого соответствия содержится в требованиях к товару или характеристике. В частности требования о соответствии ГОСТам содержатся в Приложении № 3 к части III «Техническое задание» в отношении следующих товаров: п.1 Раствор, п.2 Прокат стальной полосовой, п.5 Труба, тип 1, п.6 Лента, тип 2, п.7 Кабель тип 1, п.8 Труба тип 2, п.9 Кабель тип 3, п. 11 Кабель тип 4, пункта12 Кабель тип 5. Следовательно, по мнению Заказчика такие требования должны быть перенесены участниками закупки в свои заявки. Управление обоснованно не согласилось с указанными доводами Предприятия ввиду следующего. Из таблицы в Приложении № 3 к части III «Техническое задание» напрямую следует, что Заказчиком в графе 3 установлены требования к характеристикам, удовлетворяющие потребности заказчика, или характеристики эквивалентности предлагаемого товара, которые, в свою очередь, требования соответствия какому-либо ГОСТу не содержат. Более того, форма предложения участника в отношении предмета закупки (Форма № 2 Приложения № 1 к Информационной карте) не предусматривает в своем составе указание участником сведений о соответствии товара ГОСТу. Таким образом, как обоснованно указано Управлением все последующие действия участника закупки в части заполнения графы значения характеристик товара не могут свидетельствовать о вине участника закупки, поскольку он исходил из требований, установленных Заказчиком в Приложении № 3 к части Ш «Техническое задание» (графа 3). При этом, вопреки доводам подателя жалобы, Конкурсная документация не содержала должной инструкции по правильному отражению сведений участником закупки по спорным показателям, поскольку в Конкурсной документации не было указаний сведений в том контексте, по которым Заказчик принял решение об отклонении заявки участника закупки, как несоответствие требованиям характеристик товара. Учитывая изложенное, Управление правомерно признало жалобу ООО «Энергия» обоснованной и установила нарушение требований пункта 2 части 1 статьи 3 Закона № 233-ФЗ в действиях Предприятия. Учитывая изложенное, суд первой инстанции обоснованно отказал в удовлетворении заявленных Предприятием требований о признании незаконными решения Ленинградского УФАС от 19.02.2024 №ИМ/1468/24. Нарушения или неправильного применения норм материального или процессуального права судом первой инстанции не допущено, в связи с чем оснований для отмены решения суда от 12.09.2024 и удовлетворения апелляционной жалобы Предприятия не имеется. В соответствии со статьей 110 АПК РФ расходы по уплате государственной пошлины за подачу апелляционной жалобы подлежат оставлению на подателе жалобы. Руководствуясь пунктом 1 статьи 269 , статьей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12 сентября 2024 года по делу № А56-44919/2024 оставить без изменения, апелляционную жалобу государственного унитарного предприятия «Водоканал Санкт-Петербурга»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М.И. Денисюк Судьи Л.В. Зотеева Н.И. Протас Суд: 13 ААС (Тринадцатый арбитражный апелляционный суд) (подробнее) Истцы: ГУП "Водоканал Санкт-Петербурга" (подробнее) Ответчики: Управление Федеральной антимонопольной службы по Ленинградской области (подробнее) Судьи дела: Зотеева Л.В. (судья) (подробнее) Последние документы по делу: Постановление от 15 марта 2025 г. по делу № А56-44919/2024 Решение от 11 сентября 2024 г. по делу № А56-44919/2024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