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Сахар-песок белый - 45 руб. за килограмм;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Масло подсолнечное нерафинированное «Первый сорт» коэффициент пересчета в килограммы 0,97 - 100 руб. за литр;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Зерно пшеницы озимой мягкой и зерно ячменя средняя - 15,25 руб. за килограмм; Согласно расчету истца, общая задолженность по арендной плате с 2019 года по 2021 год составила 914689 руб. Ответчик расчет истца не оспорил, контррасчет не представил. Поскольку ООО «Сфера» не представило доказательств исполнения обязательств перед собственниками земельного участка в виде оплаты задолженности за пользование земельным участком, также не представил доказательств погашения задолженности перед истцом, отыскиваемой в настоящем деле, исковые требования удовлетворены в полном объеме. Исходя из установленных при разрешении спора обстоятельств и представленных в материалы дела доказательств, у суда апелляционной инстанции отсутствуют основания для выводов, отличных от выводов суда первой инстанции. Довод апелляционной жалобы о том, что выплата арендной платы в соответствии с договором должна производиться в натуральной форме, а суд произвел взыскание в денежном выражении, отклоняется. В пункте 40 постановления Пленума Верховного Суда РФ от 11.06.2020 № 6 «О некоторых вопросах применения положений Гражданского кодекса Российской Федерации о прекращении обязательств» разъяснено, что по общему правилу, риск наступления невозможности исполнения несет сторона обязательства, находящаяся в просрочке (статьи 405 , 406 ГК РФ ). В этом случае правоотношения сторон не прекращаются, и наступление невозможности исполнения обязательства в натуре не исключает обязанности стороны, находящейся в просрочке, возместить причиненные убытки (риск убытков). Материалами дела подтверждается, что ответчик не выполнил согласованные сторонами в договоре условие об оплате в виде натуральной оплаты продукцией, а, следовательно, несет риск невозможности исполнения обязательства. При этом правоотношения сторон не прекращаются. Поэтому взыскание арендной платы в денежном выражении является обоснованным. Аргументы, приведенные в апелляционной жалобе, не содержат фактов, которые имели бы юридическое значение для вынесения судебного акта по существу, повлияли бы на его обоснованность и законность либо опровергли выводы суда. Каких-либо убедительных доводов, основанных на доказательной базе и позволяющих отменить или изменить обжалуемое решение, заявителем в апелляционной жалобе не отражено. Оснований для удовлетворения апелляционной жалобы и отмены (изменения) судебного акта по доводам заявителя, отклоненным по изложенным выше мотивам, не имеется. Нарушений процессуального права, являющихся основанием для безусловной отмены судебного акта в соответствии с частью 4 статьи 270 Арбитражного процессуального кодекса Российской Федерации, не допущено. Определением от 27.01.2025 ответчику предоставлена отсрочка уплаты государственной пошлины по апелляционной жалобе. В этой связи на основании статьи 110 Арбитражного процессуального кодекса Российской Федерации с него надлежит взыскать в доход федерального бюджета 30000 руб. Постановление выполнено в форме электронного документа, подписанного усиленными квалифицированными электронными подписями судей, в связи с чем направляется лицам, участвующим в деле, посредством его размещения на официальном сайте суда в сети «Интернет». По ходатайству лиц, участвующих в деле, копия постановление на бумажном носителе может быть направлена им в пятидневный срок со дня поступления соответствующего ходатайства заказным письмом с уведомлением о вручении или вручено им под расписку. Руководствуясь статьями 258 , 269 - 271 Арбитражного процессуального кодекса Российской Федерации, Пятнадцатый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