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«ЭБ обещала возместить мне пени, но обещать, не значит жениться. Никто ничего мне не возместил.», 2. «На сегодняшний день ЭБ самой пришла задолженность на 2 млн. рублей. Из чего можно сделать вывод: если компания не способна грамотно обслужить себя, то о чем вообще может идти речь!?», 3. «… уберечь себя и свою компанию от сотрудничества с этими аферистами.». Обязать индивидуального предпринимателя ФИО1 (ИНН &lt;***&gt;) удалить не соответствующие действительности, порочащие деловую репутацию истца сведения, содержащиеся в отзыве об истце в сети Интернет от 02.07.2024 на странице с информацией об ООО «Эксперсс Бухгалтерия» в браузере Яндекс, а также опровергнуть указанные сведения путем публикации опровержения на той же странице в сети Интернет. Взыскать с индивидуального предпринимателя ФИО1 (ИНН &lt;***&gt;) в пользу ООО «Экспресс Бухгалтерия» (ИНН &lt;***&gt;) судебные расходы по уплате государственной пошлины в сумме 36?000 руб., судебные издержки в связи со сбором доказательств в сумме 10?050 руб., расходы на оплату услуг представителя в сумме 15?000 руб. Возвратить ООО «Экспресс Бухгалтерия» (ИНН &lt;***&gt;) государственную пошлину в сумме 2?000 руб., перечисленную на основании платежного поручения № 393 от 22.07.2024. Постановление Девятого арбитражного апелляционного суда вступает в законную силу со дня его принятия и может быть обжаловано в течение двух месяцев со дня изготовления постановления в полном объеме в Арбитражный суд Московского округа. Председательствующий судья В.В. Валюшкина Судьи: Ю.Н. Кухаренко Б.В. Стешан Суд: 9 ААС (Девятый арбитражный апелляционный суд) (подробнее) Истцы: ООО "ЭКСПРЕСС БУХГАЛТЕРИЯ" (подробнее) Судьи дела: Кухаренко Ю.Н. (судья) (подробнее) Судебная практика по: Защита деловой репутации юридического лица, защита чести и достоинства гражданина Судебная практика по применению нормы ст. 152 ГК РФ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