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val="0"/>
          <w:i w:val="0"/>
          <w:sz w:val="22"/>
        </w:rPr>
        <w:t>город Санкт-Петербург</w:t>
      </w:r>
    </w:p>
    <w:p>
      <w:pPr>
        <w:spacing w:after="200"/>
        <w:jc w:val="center"/>
      </w:pPr>
      <w:r>
        <w:rPr>
          <w:rFonts w:ascii="Times New Roman" w:hAnsi="Times New Roman" w:eastAsia="Times New Roman" w:cs="Times New Roman"/>
          <w:b w:val="0"/>
          <w:i w:val="0"/>
          <w:sz w:val="22"/>
        </w:rPr>
        <w:t>22 мая 2025 года</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Энергоснабжение - 750 кВт 380В TNS, 2. Вентиляция - 75 000 куб.м/час для организации технологической вытяжки и вытяжки от открытого огня, а также компенсационные мероприятия по объемам приточного воздуха, 3. Кондиционирование - хладагент для фанкойлов (вода температурой 12-17 грд.С) общей мощностью 150кВт, 4. Водоснабжение - холодное водоснабжение – 40 куб.м/сутки, горячее водоснабжение – 30 куб.м/сутки, 5. Канализация - подключение к сетям канализации систем К1, КЗ. Порядок и сроки выполнения работ арендодателя определяются арендодателем, о них он обязан уведомить арендатора, при этом, если такие работы могут быть произведены, они подлежат завершению не позднее чем за 30 (тридцать) календарных дней до даты открытия. Согласно пп. «б» п. 16.8.1 Общих положений Договора непосредственно перед истечением срока аренды или досрочным прекращением (расторжением) Договора без продолжения арендных отношений между сторонами арендодатель оформляет акт о состоянии помещения, а арендатор не позднее последнего дня аренды или даты досрочного прекращения (расторжения) Договора обязан самостоятельно и за свой счет выполнить следующие действия в соответствии с требованиями указанного акта о состоянии помещения: демонтировать в помещении и вывезти из помещения и торгового центра (если применимо и иное не согласовано сторонами дополнительно), в том числе, все результаты работ арендатора и иное принадлежащее арендатору имущество, включая оборудование и мебель. В случае нарушения арендатором обязательств, предусмотренных в статье 16.8.1, арендодатель вправе по своему усмотрению распорядиться результатами работ арендатора и любым имуществом арендатора, которое находится в помещении, включая, но не ограничиваясь, право их вывоза и/или утилизации арендодателем, действующим за счет арендатора, без обязательства арендодателя выплачивать арендатору какую-либо компенсацию. Все расходы арендодателя, связанные с освобождением помещения от имущества арендатора, должны быть компенсированы арендатором арендодателю в течение 5 (пяти) банковских дней с даты выставления счета арендодателем. Для целей настоящей статьи под имуществом арендатора понимается любое имущество, являющееся собственностью арендатора, а также находящееся во владении и/или пользовании арендатора на законных основаниях (п. 16.8.2 Общих положений Договора). В соответствии с п. 16.8.3 положения статьи 16.8.1 Общих положений о выполнении арендатором требований акта о состоянии помещения именно за счет арендатора не применяются в случаях расторжения (прекращения) Договора по вине арендодателя. В подтверждение понесенных расходов в сумме 41 426 505,10 руб. Общество представило в материалы дела договоры подряда со всеми дополнительными соглашениями, счета-фактуры, письменные пояснения по объему произведенных контрагентами работ и сводную таблицу расходов с указанием размера произведенных оплат каждому контрагенту в отдельности и общей суммы расходов, платежные поручения с отметками банка на сумму 41 426 505,10 руб. Кроме того, Общество представило материалы электронной переписки сторон, из которой усматривается, что арендодатель направлял арендатору на согласование перечень предстоящих работ и списки сотрудников для допуска к помещениям, фотоматериалы, фиксирующие ход работ. Содержание данной переписки свидетельствует о проведении работ по согласованию с ответчиком. Представленные материалы электронной переписки ответчик не оспаривал, доказательств, опровергающих названные обстоятельства, в материалы дела не представил. Кроме того, в п. 10.10 Договора стороны согласовали организацию и проведение арендодателем в интересах арендатора работ по обеспечению помещения определёнными необходимыми для деятельности арендатора техническими параметрами, стоимость которых в порядке п. «а» раздела 4 Положения подлежит возмещению за счет арендатора. Предъявленные к взысканию убытки представляет собой расходы арендодателя на проведение работ по устройству дополнительных систем вентиляции, по прокладке линий электроснабжения вентиляционного оборудования, прокладке кабальных линий для электроснабжения. Возражая по мотиву неотносимости представленных Обществом в обоснование требования о возмещении убытков доказательств, Компания конкретных мотивированных возражений по представленным в дело документам суду не представила. При этом если истец в подтверждение своих доводов приводит убедительные доказательства, а ответчик с ними не соглашается, не представляя при этом документы, подтверждающие свою позицию, то возложение на истца дополнительного бремени опровержения документально неподтвержденной позиции процессуального оппонента противоречит состязательному характеру судопроизводства (статьи 8 , 9 АПК РФ ). Непредставление доказательств должно квалифицироваться исключительно как отказ от опровержения того факта, на наличие которого аргументированно, со ссылкой на конкретные документы указывает процессуальный оппонент. Участвующее в деле лицо, не совершившее процессуальное действие, несет риск наступления последствий такого своего поведения (постановление Президиума Высшего Арбитражного Суда Российской Федерации от 06.03.2012 N 12505/11). Ссылка Общества на несоблюдение предусмотренных п. 9.1.7 Общих положений Договора формальностей отклонена апелляционным судом с учетом того, что по условиям Договора стороны согласовали обязанность арендатора по оплате всех расходов, понесенных арендодателем в интересах арендатора. Необходимость выполнения спорных работ, в том числе, согласована сторонами в Договоре (п. 10.10) и подтверждена материалами электронной переписки, которые в установленном порядке ответчиком не оспорены. Исследовав и оценив в порядке ст. 65 , 71 АПК РФ представленные в дело доказательства, апелляционный суд пришел к выводу о доказанности материалами дела совокупности условий, необходимых для возложения на Компанию ответственности в виде возмещения в пользу Общества понесенных убытков. При таком положении первоначальный иск в сумме 41 426 505,10 руб. в возмещение убытков также подлежит удовлетворению. В ходе рассмотрения дела Компания заявила встречный иск о признании Договора незаключенным, ссылаясь на то, что при подписании Договора и акта приема-передачи стороны не определили, какая именно часть здания передается в пользование арендатору, помещения не индивидуализированы, их невозможно идентифицировать; фактическая передача помещений в аренду не состоялась. Договор аренды недвижимого имущества подлежит государственной регистрации, если иное не установлено законом (пункт 2 статьи 609 ГК РФ ). Специальные положения об аренде недвижимого имущества содержатся в параграфе 4 главы 34 ГК РФ. Так, статьей 651 ГК РФ предусмотрено, что договор аренды здания или сооружения заключается в письменной форме путем составления одного документа, подписанного сторонами (пункт 2 статьи 434) (абзац первый пункта 1). При этом договор аренды здания или сооружения, заключенный на срок не менее года, подлежит государственной регистрации и считается заключенным с момента такой регистрации (пункт 2 той же статьи). Как видно из материалов дела, в данном случае договор аренды недвижимого имущества заключен в письменной форме путем составления одного документа, подписанного сторонами, то есть с соблюдением требований к форме договора; прошел государственную регистрацию. В силу пункта 3 статьи 154 и пункта 1 статьи 432 ГК РФ договор считается заключенным, если между сторонами достигнуто соглашение по всем существенным условиям договора (пункт 1 постановления Пленума Верховного Суда Российской Федерации от 25.12.2018 N 49 «О некоторых вопросах применения общих положений Гражданского кодекса Российской Федерации о заключении и толковании договора»; далее – Постановление № 49). Согласно пункту 2 Постановления № 49 существенными условиями, которые должны быть согласованы сторонами при заключении договора, являются условия о предмете договора, условия, которые названы в законе или иных правовых актах существенными или необходимыми для договоров данного вида (например, условия, указанные в статьях 555 и 942 ГК РФ ). В предмете Договора согласованы подлежащие передаче арендатору помещения общей площадью 2678,1 кв.м, расположенные на 5 (пятом) этаже торгового центра со встроенными подземным паркингом «Невский центр», находящегося по адресу: 191025, Российская Федерация, Санкт-Петербург, Невский проспект, д. 114-116 лит А. В пункте 2 Специальных положений Договора приведен перечень помещений, подлежащих передаче арендатору, где перечислены их номера и площади. Для целей идентификации предаваемых в аренду помещений в приложении № 1 к Договору приведен поэтажный план 5 этажа, на котором красным цветом выделены границы передаваемых арендатору помещений. Таким образом, доводы Компании отклонены апелляционным судом с учетом положений ст. 160 , п. 2 ст. 434 , ст. 651 ГК РФ , наличия в материалах дела подписанного обеими сторонами Договора и дополнительных соглашений к нему, акта приема-передачи помещений, а также совершения ответчиком действий, свидетельствующих о подтверждении ответчиком действия Договора, в частности, внесения гарантийного депозита в размере, соответствующем размеру, указанному в Договоре (с учетом дополнительных соглашений). При таком положении встречный иск удовлетворению не подлежит. На основании изложенного решение Арбитражного суда города Санкт-Петербурга и Ленинградской области от 23.08.2024 по настоящему делу подлежит отмене в порядке части 6.1 статьи 268 АПК РФ с вынесением по делу постановления об удовлетворении первоначального иска, отказе в удовлетворении встречного. По результатам рассмотрения дела в соответствии со статьей 110 АПК РФ расходы по уплате государственной пошлины за рассмотрение дела в судах первой и апелляционной инстанций относятся на ответчика. Руководствуясь статьями 269 - 271 Арбитражного процессуального кодекса Российской Федерации, Тринадцатый арбитражный апелляционный суд</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