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09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фактический объем и стоимость строительно-монтажных работ по устройству гидроизоляции деформационных швов на объекте: «Полный комплекс работ по строительству водозабора на р. Бельбек с очистными и инженерными сооружениями и водосбросом на водопроводный узел №3, г. Севастополь, шифр «Ю-41/20-59» (2 этап).</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Соответствуют ли указанные работы требованиям строительных норм и правил относящимся к данному виду работ (ТУ, ГОСТ, СНИП, СП)? Если нет, определить, в чем несоответствие и стоимость устранения недостатков. По результатам проведенной экспертизы поступило экспертное заключение №013024.01. Заключением эксперта установлено, что согласно данным исполнительных схем к актам освидетельствования скрытых работ, содержащихся в материалах дела (т. 1, л.д. 155-156, 158-159, 166, 170-172), работы по устройству гидроизоляции деформационных швов выполнены в накопительном бассейне с приямком. По первому вопросу эксперт пришел к выводу о том, что стоимость строительно-монтажных работ по устройству гидроизоляции деформационных швов на объекте: «Полный комплекс работ по строительству водозабора на р. Бельбек с очистными и инженерными сооружениям и водосбросом на водопроводный узел №3, г. Севастополь, шифр «Ю-41/20-59» (2 этап) составляет 4 098 205 рублей, фактический объем отражен в столбце 11 таблицы 8. При ответе на второй вопрос эксперт указал, что устройство гидроизоляции деформационных швов с применением системы «ПенеБанд С» выполнено в соответствии с технологией, предусмотренной производителем материала, и соответствует требованиям строительных норм и правил, относящихся к данному виду работ. Устройство гидроизоляции рабочих швов с применением материала «Пенебар» выполнено в соответствии с технологией, предусмотренной производителем материала, и соответствует требованиям строительных норм и правил, относящихся к данному виду работ (ТУ, ГОСТ, СНИП, СП). Таким образом, согласно выводам эксперта, указанные работы соответствуют требованиям строительных норм и правил, относящимся к данному виду работ (ТУ, ГОСТ, СНИП, СП). Несоответствия указанных работ требованиям строительных норм и правил, относящимся к данному виду работ (ТУ, ГОСТ, СНИП, СП) отсутствуют, стоимость устранения недостатков не определяется. Оценив экспертное заключение, суд установил, что заключение содержит ответы на все поставленные перед экспертом вопросы с подробным обоснованием и оценкой исследований; эксперт провел исследование в полном объеме. Доводы ответчика сводятся к несогласию с выводами эксперта, изложенными в заключении, ответчик указывает на отсутствие в заключении исследовательской части. Однако, судом апелляционной инстанции установлено, что в экспертном заключении исследовательская часть присутствует, имеются ссылки на СП, в соответствии с которыми определялось качество и стоимость выполненных работ, а также представлены в приложении свидетельства и сертификат, подтверждающие квалификацию эксперта. Апелляционный суд отклоняет доводы ответчика о том, что экспертом в локальном сметном расчете применен индекс перевода в текущие цены 8,9 вместо 8,39. Индекс в размере 8,9, указанный в раздел 6 локального сметного расчета, составленного на основании данных о фактически выполненных объемах работ (строки 29-32 таблицы № 8 заключения), является опечаткой. В расчетах экспертом применен индекс в размере 8,39. При применении данного коэффициента эксперт руководствовался данными Письма Минстроя России от 19.08.2020 №32582-ИФ/09 «О рекомендуемой величине индексов изменения сметной стоимости строительства в III квартале 2020 года», согласно которому величина индекса составляет 8,39. Величина сметной стоимости по разделу 6 Локального сметного расчета, составленного на основании данных о фактически выполненных объемах работ, в размере 758 685 рублей, полученная с применением индекса 8,39, совпадает с величиной, отраженной на странице 53 заключения. Таким образом, вопреки доводам ответчика, суммы, приведенные в экспертном заключении, подтверждают использование в расчетах верного индекса в размере 8,39, а не 8,9. Ответчик достоверными доказательствами не опроверг правильность примененной экспертом методики расчета стоимости выполненных работ (статьи 9 , 65 Арбитражного процессуального кодекса Российской Федерации). Возражения истца по заключению судебной экспертизы по сути выражают несогласие с выводами эксперта, но не доказывают пороков заключения. Апелляционный суд, повторно оценив заключение эксперта, поддерживает вывод суда первой инстанции о его соответствии требованиям статей 82 , 83 , 86 , 87 Арбитражного процессуального кодекса Российской Федерации, а именно выводы экспертного заключения подписаны компетентным экспертом, непротиворечивы, эксперт ответил на все поставленные на разрешение судом вопросы, экспертное заключения основано на материалах дела. Также в материалах дела отсутствуют доказательства, свидетельствующие о нарушении экспертом при проведении экспертного исследования требований действующего законодательства, и о том, что заключение эксперта содержит недостоверные выводы, а также о том, что выбранные экспертом способы и методы оценки привели к неправильным выводам. Оснований для признания экспертного заключения недопустимым доказательством у суда апелляционной инстанции не имеется. По изложенным выше основаниям ходатайство истца о назначении дополнительной экспертизы, заявленное апелляционному суду, не подлежит удовлетворению. Апелляционный суд отклоняет доводы ответчика о том, что в локальные сметные расчеты включена стоимость командировочных расходов и затраты на строительство титульных временных зданий и сооружений, которые не предусмотрены контрактом. В соответствии с пунктом 3.2 договора в цену договора включена стоимость всех затрат подрядчика, необходимых для выполнения работ по договору, в том числе техническому заданию (приложение №1 к договору) и иные затраты, прямо не предусмотренные, но необходимые для выполнения подрядчиком обязательств по договору. Согласно Положению о составе разделов проектной документации и требованиях к их содержанию, утвержденному постановлением Правительства Российской Федерации от 16.02.2008 №87, Проект организации строительства должен содержать для объектов производственного назначения и линейных объектов: обоснование потребности строительства (капитального ремонта) во временных зданиях и сооружениях, сведения о размерах и оснащении площадок для складирования материалов, конструкций, оборудования, укрупненных модулей и стендов для их сборки, а также места их расположения на строительном генеральном плане строительства. Исходя из пункта 5.6 СНиП 12-01-2004 «Организация строительства», введенных в действие постановлением Госстроя России от 19.04.2004 №70, состав временных зданий и сооружений, размещаемых на территории строительной площадки, должен быть определен стройгенпланом, разрабатываемым в составе проекта организации строительства. Из представленного ответчиком в материалы дела расчета цены контракта, согласованного заказчиком капитального строительства Южного военного округа и Федеральным казенным предприятием «Управление заказчика капитального строительства Министерства обороны Российской Федерации» от 27.10.2022 стоимость работ составила 4 590 107 рублей 84 копейки, которая включает в себя в том числе затраты на командирование рабочих и на строительство титульных временных зданий и сооружений (т. 5, л.д. 71-74). Расчет выполнен на основании сметной документации, получившей положительные заключения государственной экспертизы МО РФ (1,2 этапы от 22.11.2021 №23-1-3-0054-21; 3 этап от 28.07.2021 №23-1-3-0033-21; 4 этап от 07.09.2021 №23-1-3-0038-21; 5 этап от 03.06.2021 №23-1-3-0023-21). Расчет выполнен в соответствии с утвержденным Техническим заданием. Принятие работ свидетельствует о потребительской ценности произведенных работ для заказчика и желании ими воспользоваться. Таким образом, при приемке работ без разногласий заказчик обязан произвести их оплату. Ответчик выполненные работы в полном объеме не оплатил. Немотивированное уклонение заказчика от подписания актов приемки не свидетельствует о факте непринятия выполненных работ и не освобождает заказчика от обязанности по их оплате. Результат работ находится у генподрядчика, используется им, замечаний относительно объема и качества не предъявлено. Доводы о неправомерном применении экспертом индекса к СМР отклоняются. Правоотношения сторон регулируются, в том числе, Федеральным законом от 29.12.2012 №275-ФЗ «О государственном оборонном заказе» (далее - Закон №275-ФЗ), а также Федеральным законом от 05.04.2013 №44-ФЗ «О контрактной системе в сфере закупок товаров, работ, услуг для обеспечения государственных и муниципальных нужд» (далее - Закон №44-ФЗ). В силу пункта 4 статьи 421 Гражданского кодекса Российской Федерации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Учитывая специфику отношений, с формированием, особенностями размещения, выполнения государственного оборонного заказа и государственного контроля (надзора) в сфере государственного оборонного заказа. Законодатель урегулировал их отдельным Законом №275-ФЗ правила которого являются специальными по отношению к общим положениям гражданского законодательства. В рассматриваемом случае договорное обязательственное правоотношение возникло между сторонами на основании контракта заключенного во исполнение государственного оборонного заказа.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частью 2 статьи 34 Закона №44-ФЗ, могут устанавливаться Законом №275-ФЗ. Порядок формирования цены контракта (цены лота) регулируется требованиями, предусмотренными Законом №44-ФЗ. В соответствии со статьями 22, 34 Закона №44-ФЗ о размещении заказов для установления начальной (максимальной) цены контракта (цены лота) источниками информации о ценах товаров, работ, услуг, являющихся предметом заказа, могут быть данные государственной статистической отчетности, официальный сайт, реестр контрактов, информация о ценах производителей, общедоступные результаты изучения рынка, исследования рынка, проведенные по инициативе заказчика, уполномоченного органа, в том числе по контракту или гражданско-правовому договору, и иные источники информации. Заказчик, уполномоченный орган осуществляет свои расчеты начальной (максимальной) цены контракта (цены лота) (часть 1 стать 22 Закона №44-ФЗ). В документации указывается обоснование начальной (максимальной) цены контракта (цены лота), содержащее полученные заказчиком, уполномоченным органом информацию или расчеты и использованные заказчиком источники информации о ценах товаров, работ, услуг, в том числе путем указания соответствующих сайтов в сети Интернет или иного указания. Размещение на официальном сайте конкурсной документации, в которой указываются обоснование начальной (максимальной) цены контракта (цены лота) и иная предусмотренная Законом №44-ФЗ информация, признается добросовестным исполнением требований. Постановлением Правительства Российской Федерации от 04.09.2013 №775 «Об установлении размера начальной (максимальной) цены контракта при осуществлении закупки товара, услуги, при превышении которой в контракте устанавливается обязанность поставщика (подрядчика, исполнителя) предоставлять заказчику дополнительную документацию» установлены следующие размеры начальной (максимальной) цены контракта, при превышении которых в контракте должна быть указана обязанность поставщика (подрядчика, исполнителя) предоставлять информацию обо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10 процентов цены контракта: 1 млрд. рублей - при осуществлении закупки для обеспечения федеральных нужд; 100 млн. рублей - при осуществлении закупки для обеспечения нужд субъекта Российской Федерации и муниципальных нужд. Согласно статье 23 Закона №44-ФЗ Правительство Российской Федерации вправе устанавливать порядки формирования начальных (максимальных) цен контрактов (цен лотов) на отдельные виды товаров, работ, услуг для целей включения таких цен в конкурсную документацию, документацию об аукционе (в том числе в документацию об открытом аукционе в электронной форме), в извещение о проведении запроса котировок, в том числе устанавливать закрытый перечень источников информации о ценах товаров, работ, услуг. Согласно Положению о составе разделов проектной документации и требованиях к их содержанию, утвержденному постановлением Правительства Российской Федерации от 16.02.2008 №87, сметная документация по объекту капитального строительства, финансируемого полностью или частично за счет средств соответствующих бюджетов, является одним из обязательных разделов проектной документации. Сметная документация утверждается в установленном порядке в составе проектной документации, а также при необходимости уточняется по результатам проведения проверки достоверности определения сметной стоимости объекта капитального строительства. Расчет сметной стоимости объекта капитального строительства в ценах соответствующих лет осуществляется с использованием индексов-дефляторов, применяемых при подготовке проектов законов (решений) о соответствующем бюджете на очередной финансовый год и плановый период (очередной финансовый год). При этом в отношении объектов федеральной собственности, а также объектов иных форм собственности, финансирование которых осуществляется с использованием средств федерального бюджета, применяются индексы-дефляторы, ежегодно разрабатываемые Министерством экономического развития Российской Федерации в составе прогноза социально-экономического развития Российской Федерации, который после одобрения Правительством Российской Федерации доводится до федеральных органов исполнительной власти, а также размещается на официальном сайте Министерством экономического развития Российской Федерации. Коэффициент-дефлятор ежегодно устанавливается Министерством экономического развития Российской Федерации и применяется, в том числе, для целей расчета сметной стоимости строительных работ. Прогнозные индексы-дефляторы цен (тарифов) с уточнением по годам содержатся в базовом варианте Прогноза социально-экономического развития Российской Федерации на очередной финансовый год и плановый период, разработанного Минэкономразвития России. Таким образом, индексы-дефляторы используются при расчете сметной стоимости объекта по годам реализации. Согласно пункту 1.2 Приложения 1 к Методическим рекомендациям по оценке эффективности инвестиционных проектов, утвержденным Минэкономики России, Минфином России, Госстроем России 21.06.1999 №ВК 477, инфляция - повышение общего среднего уровня цен с течением времени. Она характеризуется общим индексом инфляции - индексом изменения общего (среднего) уровня цен в стране и уровнями цен на отдельные виды товаров, работ и услуг, отсчитываемыми от начального момента - момента разработки проектных материалов. Коэффициент-дефлятор можно определить, как ежегодно устанавливаемый на календарный год коэффициент, учитывающий изменение потребительских цен на товары (работы, услуги) в Российской Федерации в предшествующем периоде. Коэффициент-дефлятор определяется и подлежит официальному опубликованию в порядке, установленном Правительством Российской Федерации. Таким образом, учитывая, что назначение индекса дефлятора - компенсировать инфляционное удорожание стоимости работ и имущества по сделкам с длящимся исполнением, оснований не применять индекс-дефлятор не имелось. Доводы ответчика о произведенном им удержании штрафных санкций в соответствии с пунктом 17.20 договора, отклоняются. В соответствии с пунктом 17.20 договора штрафные санкции (штрафы, пени), суммы причиненного подрядчиком ущерба, суммы компенсаций расходов, понесенных генподрядчиком в связи с виновными действиями подрядчика, суммы компенсации имущественных потерь генподрядчика, а так же расходы, связанные с неисполнением и/или ненадлежащим исполнением подрядчиком своих обязательств по договору могут быть удержаны генподрядчиком из причитающихся подрядчику платежей по договору. Ответчиком не представлены доказательства наличия ущерба, несения каких-либо расходов, связанных с неисполнением и/или ненадлежащим исполнением подрядчиком своих обязательств по договору, которые подлежат удержанию из причитающихся подрядчику платежей по договору. Из выводов экспертного заключения также не следует неисполнение или ненадлежащее исполнение истцом работ по договору. Принимая во внимание результаты экспертизы, а также то обстоятельство, что объект введен в эксплуатацию и фактически используется заказчиком, суд первой инстанции пришел к верному выводу о взыскании с ответчика задолженности в общей сумме 1 706 590 рублей. Истцом заявлено требование о взыскании процентов за пользование чужими денежными средствами в размере 518 241 рубль 64 копейки, процентов за пользование чужими денежными средствами за период с 28.05.2024 по день фактического погашения задолженности в полном объеме. Суд первой инстанции, оценив представленные в материалы дела доказательства, а также положения статьи 395 Гражданского кодекса Российской Федерации, пункта 48 постановления Пленума Верховного Суда Российской Федерации №7 «О применении судами некоторых положений Гражданского кодекса Российской Федерации об ответственности за нарушение обязательств», произведя перерасчет процентов за пользование чужими денежными средствами с учетом периода просрочки выполнения работ, постановления Правительства Российской Федерации от 28.03.2022 №497 «О введении моратория на возбуждение дел о банкротстве по заявлениям, подаваемым кредиторами», взыскал с проценты за пользование чужими денежными средствами за период с 03.08.2021 по 31.03.2022 и с 02.10.2022 по 28.05.2024 в размере 416 547 рублей 57 копеек, проценты за пользование чужими денежными средствами за период с 29.05.2024 по 26.08.2024 в размере 69 848 рублей 96 копеек, проценты за пользование чужими денежными средствами с 27.08.2024 по день фактического погашения задолженности в полном объеме. В удовлетворении остальной части требований о взыскании процентов за пользование чужими денежными средствами отказано. В указанной части решение суда первой инстанции истцом не обжалуется. Истцом заявлено требование о взыскании судебных издержек в общей сумме 553 956 рублей. Суд первой инстанции, оценив представленные в материалы дела доказательства, положения статьи 110 Арбитражного процессуального кодекса Российской Федерации, частичное удовлетворение исковых требований, пришел к выводу о взыскании с ответчика судебных издержек в размере 364 408 рублей 72 копейки. В удовлетворении остальной части требований о взыскании судебных издержек отказано. В указанной части решение суда первой инстанции истцом не обжалуется. Доводы в части взысканных судом первой инстанции процентов за пользование чужими денежными средствами, а также расходов на оплату услуг представителя в апелляционной жалобе не приведены, в силу чего исходя из пункта 27 постановления Пленума Верховного Суда Российской Федерации от 30.06.2020 №12 «О применении Арбитражного процессуального кодекса Российской Федерации при рассмотрении дел в арбитражном суде апелляционной инстанции» у апелляционного суда отсутствуют основания для переоценки вывода суда первой инстанции. Принимая во внимание изложенное, оснований для удовлетворения апелляционной жалобы у суда не имеется. Судом первой инстанции верно установлены фактические обстоятельства, имеющие значение для правильного рассмотрения дела, дана правильная оценка доказательствам и доводам участвующих в деле лиц. Нарушений или неправильного применения норм материального или процессуального права, являющихся в силу статьи 270 Арбитражного процессуального кодекса Российской Федерации основанием к отмене или изменению решения, апелляционной инстанцией не установлено. В силу подпункта 19 пункта 1 статьи 333.21 Налогового кодекса Российской Федерации (в редакции, действующей с 09.09.2024), государственная пошлина по апелляционной жалобе на решение арбитражного суда для юридических лиц составляет 30 000 рублей). Поскольку при подаче апелляционной жалобы ответчику была предоставлена отсрочка по уплате государственной пошлины, то в соответствии со статьей 110 Арбитражного процессуального кодекса Российской Федерации, статьей 333.21 Налогового кодекса Российской Федерации государственная пошлина в размере 30 000 рублей подлежит взысканию в доход федерального бюджета с заявителя апелляционной жалобы.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