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момент выставления счета; 2. момент подписания актов выполненных работ. По определению периода просрочки оплаты гарантийной сумму к юридически значимым обстоятельствам относится: 1.момент подписания уполномоченными органами Приморского края акта приемки работ по рекультивации;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момент выставления счета. Следовательно, в предмет доказывания по настоящему делу входит определение момента выставления истцом счета на оплату задолженности и гарантийной суммы. При толковании условий договоров подлежит применять буквальное их толкование (ст. 431 ГК РФ ). Таким образом, из условий указанных договоров следует, что возникновение обязательства по оплате стоимости выполненных работ обусловлено выставлением истцом счета на оплату, в случае выплаты гарантийного удержания: выставления счета на оплату и подписания уполномоченными органами Приморского края акта приемки работ по рекультивации. Между тем истцом не представлены доказательства передачи ответчику счета на оплату и подписания соответствующего акта. Таким образом, сорокадневный срок является неисчисляемым, что влечет невозможность начисления неустойки за просрочку. С учетом изложенного, суд первой инстанции пришел к верному выводу о невозможности определения конкретной даты истечения срока исполнения обязательства, поскольку не выполнены согласованные сторонами конкретные условия относительно даты ее определения, в связи с чем оснований для удовлетворения указанных требований не имелось. Аналогичная позиция содержится в постановлении Арбитражного суда Московского округа от 16.03.2023 по делу № А40-154603/2022. При этом судом апелляционной инстанции отмечается, что вопреки позиции истца неустойка на гарантийные удержания не начисляется, если это прямо не предусмотрено договором. Довод ответчика о том, что гарантийное удержание входит в сумму задолженности, отклоняется судом апелляционной инстанции, поскольку природа гарантийного удержания иная, чем оплата выполненных работ по договору. Учитывая, что стороны в соответствии с требованиями Гражданского кодекса Российской Федерации и в надлежащей форме не согласовали применение неустойки на случай задержки ответчиком оплаты гарантийного удержания, то у истца отсутствовали основания для начисления неустойки на сумму гарантийного удержания. Аналогичная правовая позиция по делу со схожими фактическими обстоятельствами изложена в постановлении Арбитражного суда Московского округа от 06.02.2018 по делу № А40-142166/17 и в Определении Верховного Суда РФ от 21 января 2019 г. N 305-ЭС18-24788 по этому же делу. Кроме того, судом апелляционной инстанции также принято во внимание, что обязательство по выплате неустойки в размере 115 346, 74 руб. было прекращено путем зачета на основании уведомления № ТЭК/04/475 от 24.09.2024. Так как приемка выполненных работ по договору была осуществлена актами выполненных работ № 1 от 11.12.2021, № 2 от 28.02.2022, № 3 от 15.06.2022 за пределами срока выполнения работ, определенными сторонами в п. 3.2 договора, то ответчиком была начислена неустойка, оспоренная истцом в Пятом арбитражном апелляционном суде. Пятый арбитражный апелляционный суд в постановлении от 14.11.2023 по делу № А51-7747/2023 произвел расчет процентов за нарушение сроков выполнения обязательств ООО «Спецавтотранс-1» в сумме 787 994,2 руб. Постановление Пятого арбитражного апелляционного суда от 14.11.2023 по делу № А51-7747/2023 истцом не оспорено, он согласился с начисленной суммой процентов. Пятый арбитражный апелляционный суд установил следующее: «Факт выполнения ответчиком работ по договору и их приемка заказчиком на основании актов выполненных работ № 1 от 11.12.2021, № 2 от 28.02.2022, № 3 от 15.06.2022 за пределами установленного договором срока – 31.10.2023 документально подтвержден. (абз. 14 л. 7 постановления от 14.11.2023). Следуя приведенным правовым нормам и разъяснениям, с учетом установленных обстоятельств, апелляционный суд самостоятельно рассчитал размер подлежащих взысканию с ответчика в пользу истца процентов в порядке пункта 1 статьи 395 ГК РФ , который, с учетом исключения из расчета процентов периода действия моратория на начисление финансовых санкций с 01.04.2022 по 15.06.2022, составил 787 994 руб. 20 коп. (абз. 2 л. 9 постановления от 14.11.2023). Зачет встречного однородного требования, так же как и надлежащее исполнение, представляет собой основание для прекращения обязательства, то есть в этой части влечет такие же последствия, как и его исполнение (абзац 6 пункта 2 информационного письма Президиума Высшего Арбитражного Суда Российской Федерации от 29.12.2001 № 65 «Обзор практики разрешения споров, связанных с прекращением обязательств зачетом встречных однородных требований»). Также согласно разъяснениям Президиума Высшего Арбитражного Суда Российской Федерации, изложенным в пункте 4 информационного письма от 29.12.2001 № 65 «Обзор практики разрешения споров, связанных с прекращением обязательств зачетом встречных однородных требований», для прекращения обязательства зачетом встречного однородного требования необходимо, чтобы заявление о зачете было получено соответствующей стороной. Указанное уведомление о зачете встречных требований получено истцом, при этом истец, получив уведомление, возражений против зачета не заявил. Доказательств обратного в материалы дела не представил. На указанный зачет ответчик также указал в отзыве на иск. При таких обстоятельствах принятое по настоящему делу судебное решение является законным, обоснованным и мотивированным. Все доводы были предметом рассмотрения суда первой инстанции, которым дана надлежащая оценка. Оснований для переоценки выводов суда первой инстанции у Девятого арбитражного апелляционного суда не имеется. Доводы заявителя об обратном основаны на переоценке представленных в дело доказательств. Иное толкование заявителем положений гражданского законодательства, а также иная оценка обстоятельств настоящего дела не свидетельствуют о неправильном применении судом норм материального права. Нарушений норм процессуального права, являющихся в силу части 4 статьи 270 Арбитражного процессуального кодекса Российской Федерации безусловными основаниями для отмены решения, апелляционным судом не установлено. Расходы по оплате государственной пошлины подлежат распределению в порядке статьи 110 Арбитражного процессуального кодекса Российской Федерации. Руководствуясь статьями 110 , 176 , 266 - 272.1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