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Удержание № 01-31-462 от 02.05.2023 на сумму 350 000,00 руб. Подрядчику был выставлен штраф в сумме 350 000 руб., в том числе: По предписанию № 3 от 22.11.2022 за нарушение п. 5.2 Договора и п. 14 Технического задания (допущено возгорание мусора на строительной площадке) - 200 000 руб. (п. 5.11 Договора). По предписанию № 6 от 09.01.2023: - за нарушение п. 15 Технического задания (несоответствие места складирования строительного материала (песка) требованиям ПОС) - 50 000 руб. (п. 5.8 Договора). - за нарушение п. 5.2 Договора и п. 14 Технического задания (складирования отходов производства в месте производства работ) - 50 000 руб. (п. 5.10 Договора). По предписанию № 16 от 25.03.2023 за нарушение п. 5.2 Договора и п. 14 Технического задания (накопления отходов производства в местах производства работ) - 50 000 руб. (п. 5.10 Договора). При расчетах за выполненные работы по акту о приемке выполненных работ № 6 от 28.02.2023 (форма КС-2) и акту о приемке выполненных работ № 7 от 31.03.2023 (форма КС-2) Заказчиком была уменьшена сумма платежа на 350 000 (триста пятьдесят тысяч) руб. 00 коп. начисленных штрафных санкций (штраф), рассчитанных в соответствии с разделом 5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Удержание № 01-31-835 от 17.10.2023 на сумму 178 975,09 руб. Как следует из Графика строительно-монтажных работ (в редакции дополнительного соглашения № 5 от 16.08.2023 к Договору) работы по этапу «Демонтажные работы, архитектурное решение, наружные инженерные сети - Реконструкция участка № 2» должны быть выполнены до 30.09.2023 включительно. Работы выполнены Подрядчиком и приняты Заказчиком 10.10.2023, неустойка начислена за период с 01.10.2023 по 10.10.2023 на сумму 178 975,09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Уведомление № 01-31-975 от 27.11.2023 на сумму 504 514,46 руб. Как следует из Графика строительно-монтажных работ (в ред. дополнительного соглашения № 5 от 16.08.2023 к Договору) работы по этапу «Демонтажные работы и Устройство кровель» должны быть выполнены до 30.09.2023 включительно. Работы выполнены Подрядчиком и приняты Заказчиком 31.10.2023, неустойка начислена за период с 01.10.2023 по 10.10.2023 на сумму 501 514,46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Удержание № 01-31-351 от 18.04.2024 на сумму 3 264 963,03 руб. Как следует из Графика строительно-монтажных работ (в ред. дополнительного соглашения № 7 от 30.11.2023 к Договору) работы по этапам «Демонтажные работы, архитектурные решения, устройство железобетонных конструкций, устройство конструкций металлических, внутренние инженерные системы, наружные инженерные сети, устройство фундаментной плиты БКТП, монтаж оборудования, восстановление асфальтобетонных покрытий - Реконструкция участка № 2» должны быть выполнены до 15.12.2023 включительно. Работы выполнены Подрядчиком и приняты Заказчиком 31.01.2024, неустойка начислена за период с 16.12.2023 по 31.01.2024, 5. Удержание № 01-31-352 от 19.04.2024 на сумму 842 848,28 руб. Как следует из Графика строительно-монтажных работ (в ред. дополнительного соглашения № 7 от 30.11.2023 к Договору) работы по этапам «Архитектурные решения, устройство железобетонных конструкций, внутренние инженерные системы, устройство контактной сети - Реконструкция участка № 2» должны быть выполнены до 15.12.2023 включительно. Работы выполнены Подрядчиком и приняты Заказчиком 15.02.2024, неустойка начислена за период с 16.12.2023 по 15.02.2024.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Удержание № 01-31-405 от 13.05.2024 на сумму 4 070 205,09 руб. Как следует из Графика строительно-монтажных работ (в ред. дополнительного соглашения № 7 от 30.11.2023 к Договору) работы по этапам «Демонтажные работы, архитектурные решения, устройство железобетонных конструкций, устройство конструкций металлических, внутренние инженерные системы, наружные инженерные сети, монтаж оборудования, устройство контактной сети - Реконструкция участка № 2» должны быть выполнены до 15.12.2023 включительно. Работы выполнены Подрядчиком и приняты Заказчиком 29.02.2024, неустойка начислена за период с 16.12.2023 по 29.02.2024.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Удержание № 01-31-598 от 01.07.2024 на сумму 3 752 525,52 руб. Как следует из Графика строительно-монтажных работ (в ред. дополнительного соглашения № 7 от 30.11.2023 к Договору) работы по этапам «Демонтажные работы, архитектурные решения, устройство железобетонных конструкций, устройство конструкций металлических, внутренние инженерные системы, ПНР - Реконструкция участка № 2» должны быть выполнены до 15.12.2023 включительно. Работы выполнены Подрядчиком и приняты Заказчиком 31.03.2024, неустойка начислена за период с 16.12.2023 по 31.03.2024.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Удержание № 01-31-663 от 19.07.2024 на сумму 758 124,06 руб. Как следует из Графика строительно-монтажных работ (в ред. дополнительного соглашения № 7 от 30.11.2023 к Договору) работы по этапам «Архитектурные решения, устройство конструкций металлических, внутренние инженерные системы - Реконструкция участка № 2» должны быть выполнены до 15.12.2023 включительно. Работы выполнены Подрядчиком и приняты Заказчиком 30.04.2024, неустойка начислена за период с 16.12.2023 по 30.04.2024. Оценив представленные в материалы дела доказательства, суд первой инстанции пришел к правильному выводу о том, что в рамках Договора ответчик допустил нарушения его условий, в том числе, сроков выполнения работ, в связи с чем, Предприятие правомерно произвело удержание штрафных санкций. Ответчик подписал и согласился с установленным Договором пунктом 2.8, который предусматривает в случае нарушения подрядчиком обязательств по Договору право заказчика в одностороннем порядке удержать любые суммы, подлежащие оплате подрядчиком в пользу заказчика, в том числе, но, не ограничиваясь, суммы неустоек и убытков заказчика, возникших по вине подрядчика, при проведении расчетов по Договору. Таким образом, ввиду отсутствия на стороне истца задолженности по оплате выполненных работ у суда первой инстанции отсутствовали основания для удовлетворения встречного иска. С учетом изложенного, судом первой инстанции правомерно удовлетворен первоначальный иск частично, а в удовлетворении встречного иска отказано. Доводы апелляционной жалобы не опровергают правомерности выводов суда, а лишь выражают несогласие с ними, фактические обстоятельства, имеющие значение для дела, установлены судом на основе полного и всестороннего исследования имеющихся в деле доказательств, нормы материального и процессуального права не нарушены, в связи с чем, у апелляционного суда отсутствуют основания для отмены принятого по делу судебного акта и удовлетворения апелляционной жалобы. На основании изложенного и руководствуясь статьями 269 , 271 Арбитражного процессуального кодекса Российской Федерации, Тринадцатый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