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21 сентября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13.07.2021 г. Перевод на карту, Без НДС/ № 30232810270000007992 60000 2. 13.07.2021 г. Перевод на карту, Без НДС/ № 30232810270000007992 30000 3. 15.07.2021 г. Перевод на карту, Без НДС/ № 30232810270000007992 53000 4. 16.07.2021 г. Перевод на карту, Без НДС/ № 30232810270000007992 29000 5. 22.07.2021 г. Перевод на карту, Без НДС/ № 30232810270000007992 36000 6. 24.07.2021 г. Перевод на карту, Без НДС/ № 30232810270000007992 30000 7. 27.07.2021 г. Перевод на карту, Без НДС/ № 30232810270000007992 70000 8. 01.08.2021 г. Перевод на карту, Без НДС/ № 30232810270000007992 50000 9. 27.08.2021 г. Перевод на карту, Без НДС/ № 30232810270000007992 49000 10. 03.09.2021 г. Перевод на карту, Без НДС/ № 30232810270000007992 94000 11. 09.09.2021 г. Перевод на карту, Без НДС/ № 30232810270000007992 50000 12. 10.09.2021 г. Перевод на карту, Без НДС/ № 30232810270000007992 85000 13. 10.09.2021 г. Перевод на карту, Без НДС/ № 30232810270000007992 25000 14. 24.09.2021 г. Перевод на карту, Без НДС/ № 30232810270000007992 90000 15. 24.09.2021 г. Перевод на карту, Без НДС/ № 30232810270000007992 75000 16. 08.10.2021 Перевод на карту, Без 50000 г. НДС/ № 30232810270000007992</w:t>
      </w:r>
    </w:p>
    <w:p>
      <w:pPr>
        <w:pStyle w:val="Heading3"/>
      </w:pPr>
      <w:r>
        <w:rPr>
          <w:rFonts w:ascii="Times New Roman" w:hAnsi="Times New Roman" w:eastAsia="Times New Roman" w:cs="Times New Roman"/>
          <w:b/>
          <w:i w:val="0"/>
          <w:sz w:val="22"/>
        </w:rPr>
        <w:t>Пункт 17. Правовой анализ</w:t>
      </w:r>
    </w:p>
    <w:p>
      <w:pPr>
        <w:spacing w:after="120" w:before="160"/>
        <w:ind w:firstLine="720"/>
        <w:jc w:val="both"/>
      </w:pPr>
      <w:r>
        <w:rPr>
          <w:rFonts w:ascii="Times New Roman" w:hAnsi="Times New Roman" w:eastAsia="Times New Roman" w:cs="Times New Roman"/>
          <w:b/>
          <w:i w:val="0"/>
          <w:sz w:val="22"/>
        </w:rPr>
        <w:t xml:space="preserve">17. </w:t>
      </w:r>
      <w:r>
        <w:rPr>
          <w:rFonts w:ascii="Times New Roman" w:hAnsi="Times New Roman" w:eastAsia="Times New Roman" w:cs="Times New Roman"/>
          <w:b w:val="0"/>
          <w:i w:val="0"/>
          <w:sz w:val="22"/>
        </w:rPr>
        <w:t>08.10.2021 г. Перевод на карту, Без НДС/ № 30232810270000007992 30000 18. 15.10.2021 г. Перевод на карту, Без НДС/ № 30232810270000007992 90000 19. 15.10.2021 г. Перевод на карту, Без НДС/ № 30232810270000007992 70000 20. 20.10.2021 г. Перевод на карту, Без НДС/ № 30232810270000007992 40000 21. 22.10.2021 г. Перевод на карту, Без НДС/ № 30232810270000007992 65000 22. 23.10.2021 г. Перевод на карту, Без НДС/ № 30232810270000007992 43000 23. 29.10.2021 г. Перевод на карту, Без НДС/ № 30232810270000007992 92000 24. 29.10.2021 г. Перевод на карту, Без НДС/ № 30232810270000007992 30000 25. 04.11.2021 г. Перевод на карту, Без НДС/ № 30232810270000007992 25000 26. 05.11.2021 г. Перевод на карту, Без НДС/ № 30232810270000007992 85000 27. 08.11.2021 г. Перевод на карту, Без НДС/ № 30232810270000007992 56500 28. 11.11.2021 г. Перевод на карту, Без НДС/ № 30232810270000007992 53000 29. 12.11.2021 г. Перевод на карту, Без НДС/ № 30232810270000007992 94000 30. 12.11.2021 г. Перевод на карту, Без НДС/ № 30232810270000007992 39000 31. 19.11.2021 г. Перевод на карту, Без НДС/ № 30232810270000007992 90000 32. 19.11.2021 г. Перевод на карту, Без НДС/ № 30232810270000007992 50000 33. 01.12.2021 г. Перевод на карту, Без НДС/ № 30232810270000007992 63000 34. 09.12.2021 г. Перевод на карту, Без НДС/ № 30232810270000007992 96000 35. 09.12.2021 г. Перевод на карту, Без НДС/ № 30232810270000007992 89000 36. 11.12.2021 г. Перевод на карту, Без НДС/ № 30232810270000007992 94000 37. 10.01.2022 г. Перевод на карту, Без НДС/ № 30232810270000007992 38000 38. 14.01.2022 г. Перевод на карту, Без НДС/ № 30232810270000007992 100000 39. 15.01.2022 г. Перевод на карту, Без НДС/ № 30232810270000007992 50000 40. 21.01.2022 г. Перевод на карту, Без НДС/ № 30232810270000007992 100000 41. 21.01.2022 г. Перевод на карту, Без НДС/ № 30232810270000007992 45000 42. 25.01.2022 г. Перевод на карту, Без НДС/ № 30232810270000007992 30000 43. 28.01.2022 г. Перевод на карту, Без НДС/ № 30232810270000007992 100000 44. 31.01.2022 г. Перевод на карту, Без НДС/ № 30232810270000007992 35000 45. 31.01.2022 г. Перевод на карту, Без НДС/ № 30232810270000007992 30000 46. 04.02.2022 г. Перевод на карту, Без НДС/ № 30232810270000007992 100000 47. 08.02.2022 г. Перевод на карту, Без НДС/ № 30232810270000007992 29500 48. 11.02.2022 г. Перевод на карту, Без НДС/ № 30232810270000007992 98000 49. 19.02.2022 г. Перевод на карту, Без НДС/ № 30232810270000007992 40000 50. 05.03.2022 г. Перевод на карту, Без НДС/ № 30232810270000007992 99000 51. 06.03.2022 г. Перевод на карту, Без НДС/ № 30232810270000007992 45000 52. 19.03.2022 г. Перевод на карту, Без НДС/ № 30232810270000007992 99000 53. 25.03.2022 г. Перевод на карту, Без НДС/ № 30232810270000007992 99000 54. 29.03.2022 г. Перевод на карту, Без НДС/ № 30232810270000007992 35000 55. 04.05.2022 г. Перевод на карту, Без НДС/ № 30232810270000007992 35000 56. 12.05.2022 г. Перевод на карту, Без НДС/ № 30232810270000007992 99000 ВСЕГО: 3477000 Ссылаясь на то, что основания для осуществления указанных переводов у бывшего генерального директора Общества ФИО3 отсутствовали, также в Обществе отсутствуют документы, подтверждающие обоснованность таких переводов, документы о целях расходования данных денежных средств ФИО3 в Общество не представлены, отчет о расходовании не предоставлен, денежные средства на расчетный счет Общества не возвращены, Общество обратилось в арбитражный суд с настоящим иском о взыскании убытков. Оценив представленные в материалы дела доказательства, суд первой инстанции удовлетворил исковые требования. Проверив законность и обоснованность решения арбитражного суда первой инстанции, апелляционный суд не усматривает оснований для его отмены или изменения в связи со следующим. Гражданско-правовая ответственность органов управления юридического лица, включая ответственность единоличного исполнительного органа, перед самим юридическим лицом предусмотрена статьей 53 Гражданского кодекса Российской Федерации (далее - ГК РФ), а также статьей 44 Федерального закона от 08.02.1998 N 14-ФЗ «Об обществах с ограниченной ответственностью» (далее – Закон № 14-ФЗ). В частности, единоличный исполнительный орган обязан возместить обществу убытки, причиненные его виновными действиями (бездействием). Согласно статье 15 ГК РФ лицо, право которого нарушено, может требовать полного возмещения причиненных ему убытков, если законом или договором не предусмотрено возмещение убытков в меньшем размере. Под убытками согласно пункту 2 статьи 15 ГК РФ понимаются расходы, которые лицо, чье право нарушено, произвело или должно будет произвести для восстановления нарушенного права, утрата или повреждение его имущества (реальный ущерб), а также неполученные доходы, которые это лицо получило бы при обычных условиях гражданского оборота, если бы его право не было нарушено (упущенная выгода). Из содержания указанной нормы следует, что взыскание убытков является мерой гражданско-правовой ответственности и ее применение возможно лишь при наличии совокупности условий ответственности, предусмотренных законом. Лицо, требующее возмещения убытков, должно доказать факт причинения убытков, их размер, противоправность поведения причинителя ущерба и юридически значимую причинную связь между поведением указанного лица и наступившим вредом. Недоказанность хотя бы одного из элементов состава правонарушения является достаточным основанием для отказа в удовлетворении требований о возмещении убытков. Лицо, которое в силу закона, иного правового акта или учредительного документа юридического лица уполномочено выступать от его имени, должно действовать в интересах представляемого им юридического лица добросовестно и разумно (пункт 3 статьи 53 ГК РФ ). Согласно разъяснениям, изложенным в абзацах 1 - 4 пункта 1 постановления Пленума Высшего Арбитражного Суда Российской Федерации от 30.07.2013 N 62 «О некоторых вопросах возмещения убытков лицами, входящими в состав органов юридического лица» (далее - Постановление № 62), лицо, входящее в состав органов юридического лица (единоличный исполнительный орган - директор, генеральный директор и т.д., временный единоличный исполнительный орган, управляющая организация или управляющий хозяйственного общества, руководитель унитарного предприятия, председатель кооператива и т.п.; члены коллегиального органа юридического лица - члены совета директоров (наблюдательного совета) или коллегиального исполнительного органа (правления, дирекции) хозяйственного общества, члены правления кооператива и т.п.), обязано действовать в интересах юридического лица добросовестно и разумно (пункт 3 статьи 53 ГК РФ ). В случае нарушения этой обязанности директор по требованию юридического лица и (или) его учредителей (участников), которым законом предоставлено право на предъявление соответствующего требования, должен возместить убытки, причиненные юридическому лицу таким нарушением. Арбитражным судам следует принимать во внимание, что негативные последствия, наступившие для юридического лица в период времени, когда в состав органов юридического лица входил директор, сами по себе не свидетельствуют о недобросовестности и (или) неразумности его действий (бездействия), так как возможность возникновения таких последствий сопутствует рисковому характеру предпринимательской деятельности. Поскольку судебный контроль призван обеспечивать защиту прав юридических лиц и их учредителей (участников), а не проверять экономическую целесообразность решений, принимаемых директорами, директор не может быть привлечен к ответственности за причиненные юридическому лицу убытки в случаях, когда его действия (бездействие), повлекшие убытки, не выходили за пределы обычного делового (предпринимательского) риска. В силу пункта 5 статьи 10 ГК РФ истец должен доказать наличие обстоятельств, свидетельствующих о недобросовестности и (или) неразумности действий (бездействия) директора, повлекших неблагоприятные последствия для юридического лица. Если истец утверждает, что директор действовал недобросовестно и (или) неразумно, и представил доказательства, свидетельствующие о наличии убытков юридического лица, вызванных действиями (бездействием) директора, такой директор может дать пояснения относительно своих действий (бездействия), указать на причины возникновения убытков (например, неблагоприятная рыночная конъюнктура, недобросовестность выбранного им контрагента, работника или представителя юридического лица, неправомерные действия третьих лиц, аварии, стихийные бедствия и иные события и т.п.) и представить соответствующие доказательства. Тем самым истец должен доказать наличие обстоятельств, свидетельствующих о неразумности действий (бездействия) директора, повлекших неблагоприятные последствия для юридического лица, а равно сам факт неблагоприятных последствий для юридического лица. Из анализа указанных разъяснений следует, что основанием для привлечения единоличного исполнительного органа к ответственности является его недобросовестное и неразумное поведение. При определении оснований и размера ответственности единоличного исполнительного органа общества должны быть приняты во внимание обычные условия делового оборота и иные обстоятельства, имеющие значение для дела. Взыскание убытков с единоличного исполнительного органа зависит от того, действовал ли он при исполнении своих обязанностей разумно и добросовестно, т.е. проявлял ли он заботливость и осмотрительность и принял ли все необходимые меры для надлежащего исполнения своих обязанностей. Перечень действий, при совершении которых недобросовестность и неразумность действий (бездействия) директора считается доказанной, приведен в пунктах 2, 3 Постановления N 62. Согласно пункту 2 Постановления N 62 недобросовестность действий (бездействия) директора считается доказанной, в частности, когда директор: действовал при наличии конфликта между его личными интересами (интересами аффилированных лиц директора) и интересами юридического лица, в том числе при наличии фактической заинтересованности директора в совершении юридическим лицом сделки, за исключением случаев, когда информация о конфликте интересов была заблаговременно раскрыта и действия директора были одобрены в установленном законодательством порядке; скрывал информацию о совершенной им сделке от участников юридического лица (в частности, если сведения о такой сделке в нарушение закона, устава или внутренних документов юридического лица не были включены в отчетность юридического лица) либо предоставлял участникам юридического лица недостоверную информацию в отношении соответствующей сделки; совершил сделку без требующегося в силу законодательства или устава одобрения соответствующих органов юридического лица; после прекращения своих полномочий удерживает и уклоняется от передачи юридическому лицу документов, касающихся обстоятельств, повлекших неблагоприятные последствия для юридического лица; знал или должен был знать о том, что его действия (бездействие) на момент их совершения не отвечали интересам юридического лица, например, совершил сделку (голосовал за ее одобрение) на заведомо невыгодных для юридического лица условиях или с заведомо неспособным исполнить обязательство лицом («фирмой-однодневкой» и т.п.). Обязанность по доказыванию отсутствия вины в причинении убытков лежит на привлекаемом к ответственности единоличном исполнительном органе (пункт 6 Постановления N 62). Из вышеизложенного следует, что лицо, требующее возмещения убытков, должно доказать противоправность поведения ответчика, наличие и размер понесенных убытков, а также причинно-следственную связь между противоправностью поведения ответчика и наступившими негативными последствиями. Факт перевода денежных средств со счета Общества ответчику подтверждается материалами дела и ответчиком не оспаривался, правомерность перечисления указанных сумм ответчиком не доказана. Ответчик ссылался, что переводы осуществлялись с целью выплаты заработной платы работникам и расчетов по обязательствам Общества с ведома и по указанию ФИО4, фактически контролировавшего Общество. Определением от 02.04.2025 суд первой инстанции удовлетворил ходатайство ответчика о допросе свидетелей ФИО7, ФИО8. Свидетель ФИО7 пояснила, в том числе, на неоднократные уточняющие вопросы суда первой инстанции, что работала именно в ООО «Арсенал», а не ООО «Арсенал Керамика» (с 2021 до начала 2023 года), всем заведовал ФИО4, деньги платили или в конверте или на карту от ФИО3 или ФИО4 Свидетель ФИО8 пояснил, что работал с осени 2021 по июнь 2022 в Обществе неофициально, ФИО4 работал «вроде как директор», ФИО3 - тоже, со слов свидетеля, заработная плата перечислялась на карту от ФИО3 или ФИО4 Суд первой инстанции пришел к правильному выводу, что ответчик не доказал расходования спорных денежных средств в интересах Общества, из показаний свидетелей невозможно установить оснований перечисления именно спорных сумм. Представленная ответчиком переписка в мессенджере «WhatsApp» с ФИО4 расходования спорных средств на нужды Общества не подтверждает. Из переписки не усматривается какого-либо согласования расчетов непосредственно через счета ответчика и относимость переписки к спорным переводам. Кроме того, в силу статьи 5 Федерального закона от 06.12.2011 N 402-ФЗ «О бухгалтерском учете» (далее - Закон о бухгалтерском учете) объектами бухгалтерского учета экономического субъекта являются: факты хозяйственной жизни; активы; обязательства; источники финансирования его деятельности; доходы; расходы; иные объекты в случае, если это установлено федеральными стандартами. Положениями статьи 3 Закона о бухгалтерском учете, определяющей основные понятия, используемые в данном законе, установлено, что факт хозяйственной жизни - это сделка, событие, операция, которые оказывают или способны оказать влияние на финансовое положение экономического субъекта, финансовый результат его деятельности и (или) движение денежных средств (пункт 8). В силу положений статьи 9 Закона о бухгалтерском учете каждый факт хозяйственной жизни подлежит оформлению первичным учетным документом, содержащим перечень предусмотренных названной нормой реквизитов и составленным по форме, определенной руководителем экономического субъекта. Таким образом, суд первой инстанции пришел к правильному выводу, что именно на ответчике, как руководителе, лежит обязанность по надлежащему оформлению расходования денежных средств организации. Учитывая изложенное, поскольку ответчик не доказал отсутствия вины в причинении Обществу убытков, а также принимая во внимание, что противоправность поведения ответчика, наличие и размер понесенных убытков, а также причинно-следственная связь между противоправностью поведения ответчика и наступившими негативными последствиями подтверждается материалами дела, суд первой инстанции правомерно удовлетворил иск в полном объеме. Доводы апелляционной жалобы не опровергают правомерности выводов суда, а лишь выражают несогласие с ними, фактические обстоятельства, имеющие значение для дела, установлены судом на основе полного и всестороннего исследования имеющихся в деле доказательств, нормы материального и процессуального права не нарушены, в связи с чем, у апелляционного суда отсутствуют основания для отмены принятого по делу судебного акта и удовлетворения апелляционной жалобы. На основании изложенного и руководствуясь статьями 269 , 271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