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наличие у заявителя статуса заинтересованного лица, наделенного правом инициировать процедуру распределения обнаруженного имущества исключенного из ЕГРЮЛ юридического лица, 2. наличие у ликвидированного хозяйствующего субъекта имущества, 3. наличие у последнего неисполненного обязательства. При этом, исходя из анализа вышеприведенных норм права, можно сделать вывод о том, что распределению подлежит имущество, факт наличия (обнаружения) которого носит бесспорный характер. О бесспорном характере таких требований свидетельствует также и то обстоятельство, что заявление о распределении обнаруженного имущества ликвидируемого должника рассматривается без привлечения ответчиков по делу (определения Верховного Суда Российской Федерации от 26.05.2020 N 302-ЭС18-3351, от 16.01.2019 N 309-ЭС18-22961). Таким образом, предусмотренная пунктом 5.2 статьи 64 ГК РФ процедура предполагает распределение имущества, ранее (до ликвидации) бесспорно принадлежавшего ликвидированной организации, в отношении которого отсутствуют какие-либо споры, и которое обнаружено только после факта ликвидации юридического лица, чем исключительно и вызвана необходимость распределения имущества между заинтересованными лицами (кредиторами, учредителями). Возражая против удовлетворения заявления, ФИО2 указал следующее. В соответствии с бухгалтерской (финансовой) отчетностью ООО «Торговый дом «Пилот», представленной Управлением ФНС России по Республике Карелия, единственным активом «Торговый дом «Пилот» на момент ликвидации являлись финансовые и другие оборотные активы (дебиторская задолженность) в размере 679 000 руб. Ранее в службу судебных приставов и в судебные процессы, поименованные заявителем, представлена Справка по расшифровке строк баланса ООО «Торговый дом «Пилот», согласно которой: Финансовые и другие оборотные активы (стр.1230) 679 000 руб. из них: 439 000 руб. - задолженность контрагента ФИО1 Данная задолженность числится с 2006 года, документов предыдущими участниками общества не передавалось. Представляет собой задолженность за ремонт помещения и подключения электроэнергии по адресу: &lt;...&gt;, на сумму 439 000 руб. Также 120 000 руб. - задолженность контрагента ФИО3 (бывший исполнительный директор ООО «Торговый Дом Пилот»). Числится задолженность с 2007 года, данные денежные средства перечислены за гаражные ворота, которые в Общество не поступали и объяснения у ФИО3 о данной ситуации получить не удалось. 110 000 руб. - задолженность контрагента ФИО4 Числится задолженность за 2006-2007 годы. Денежные средства были выданы ФИО4 бывшим директором ФИО3, основания выдачи не указаны. 1 740 руб. - задолженность контрагента «Наста». Числится задолженность с 2006 года. 3 260 руб. - задолженность контрагента ЧП ФИО5. Числится задолженность с 2006 года. 5 000 руб.- задолженность контрагента ФИО1 (выдано под отчет в 2006 году.). Дебиторская задолженность образовалась в 2006-2007 годах, когда ФИО2 не работал в данной организации, в связи с этим документы, подтверждающие указанные суммы задолженности, у ФИО2 отсутствуют. Учредителем и руководителем ООО «ТД Пилот» в указанный период являлся ФИО1 При этом ФИО2 стал учредителем ООО «ТД Пилот» с 24.12.2012, документы по указанной дебиторской задолженности не передавались ФИО2, задолженность не была взыскана в судебном порядке, обоснованность дебиторской задолженности документально не подтверждена, при этом срок исковой давности за 2006-2007 года истек. Согласно части 1 статьи 65 АПК РФ каждое лицо, участвующее в деле, должно доказать обстоятельства, на которые оно ссылается как на основание своих требований и возражений. Доказательств наличия у ООО «ТД «Пилот» имущества, подлежащего распределению в порядке статьи 64 ГК РФ , заявителем в материалы дела не представлено. С учетом изложенного, принимая во внимание, факт недоказанности заявителем наличия у ООО «ТД «Пилот» имущества, подлежащего распределению в порядке статьи 64 ГК РФ , суд первой инстанции правомерно отказал в удовлетворении заявления о назначении процедуры распределения имущества ликвидированного юридического лица. Доводы апелляционной жалобы не опровергают правомерности выводов суда, а лишь выражают несогласие с ними, фактические обстоятельства, имеющие значение для дела, установлены судом на основе полного и всестороннего исследования имеющихся в деле доказательств, нормы материального и процессуального права не нарушены, в связи с чем, у апелляционного суда отсутствуют основания для отмены принятого по делу судебного акта и удовлетворения апелляционной жалобы. На основании изложенного и руководствуясь статьями 269 , 271 Арбитражного процессуального кодекса Российской Федерации, Тринадцатый арбитражный апелляционный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