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https://www.wildberries.ru/catalog/371570348/detail.aspx 11. https://www.wildberries.ru/catalog/371570352/detail.aspx 12. https://www.wildberries.ru/catalog/334974328/detail.aspx 13. https://www.wildberries.ru/catalog/316651089/detail.aspx 14. https://www.wildberries.ru/catalog/316651101/detail.aspx 15. https://www.wildberries.ru/catalog/311451063/detail.aspx 16. https://www.wildberries.ru/catalog/349304258/detail.aspx 17. https://www.wildberries.ru/catalog/343845895/detail.aspx 18. https://www.wildberries.ru/catalog/334974422/detail.aspx 19. https://www.wildberries.ru/catalog/343845911/detail.aspx 20. https://www.wildberries.ru/catalog/343845912/detail.aspx 21. https://www.wildberries.ru/catalog/343845913/detail.aspx 22. https://www.wildberries.ru/catalog/343845914/detail.aspx 23. https://www.wildberries.ru/catalog/343846019/detail.aspx 24. https://www.wildberries.ru/catalog/349304246/detail.aspx 25. https://www.wildberries.ru/catalog/334974394/detail.aspx 26. https://www.wildberries.ru/catalog/316651079/detail.aspx 27. https://www.wildberries.ru/catalog/316651111/detail.aspx 28. https://www.wildberries.ru/catalog/349287867/detail.aspx 29. https://www.wildberries.ru/catalog/349304250/detail.aspx 30. https://www.wildberries.ru/catalog/334974395/detail.aspx 31. https://www.wildberries.ru/catalog/334974396/detail.aspx 32. https://www.wildberries.ru/catalog/334974397/detail.aspx 33. https://www.wildberries.ru/catalog/334974407/detail.aspx 34. https://www.wildberries.ru/catalog/349304259/detail.aspx 35. https://www.wildberries.ru/catalog/343845897/detail.aspx 36. https://www.wildberries.ru/catalog/343845891/detail.aspx</w:t>
      </w:r>
    </w:p>
    <w:p>
      <w:pPr>
        <w:pStyle w:val="Heading3"/>
      </w:pPr>
      <w:r>
        <w:rPr>
          <w:rFonts w:ascii="Times New Roman" w:hAnsi="Times New Roman" w:eastAsia="Times New Roman" w:cs="Times New Roman"/>
          <w:b/>
          <w:i w:val="0"/>
          <w:sz w:val="22"/>
        </w:rPr>
        <w:t>Пункт 37. Правовой анализ</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https://www.wildberries.ru/catalog/343845893/detail.aspx 38. https://www.wildberries.ru/catalog/343845892/detail.aspx 39. https://www.wildberries.ru/catalog/343845894/detail.aspx 40. https://www.wildberries.ru/catalog/343846009/detail.aspx 41. https://www.wildberries.ru/catalog/343846010/detail.aspx 42. https://www.wildberries.ru/catalog/343846029/detail.aspx 43. https://www.wildberries.ru/catalog/343846041/detail.aspx 44. https://www.wildberries.ru/catalog/343846030/detail.aspx 45. https://www.wildberries.ru/catalog/343846040/detail.aspx 46. https://www.wildberries.ru/catalog/343846014/detail.aspx 47. https://www.wildberries.ru/catalog/343846037/detail.aspx 48. https://www.wildberries.ru/catalog/343846013/detail.aspx 49. https://www.wildberries.ru/catalog/343846015/detail.aspx 50. https://www.wildberries.ru/catalog/343846026/detail.aspx 51. https://www.wildberries.ru/catalog/343846036/detail.aspx 52. https://www.wildberries.ru/catalog/343846038/detail.aspx 53. https://www.wildberries.ru/catalog/343846025/detail.aspx 54. https://www.wildberries.ru/catalog/343846024/detail.aspx 55. https://www.wildberries.ru/catalog/343846018/detail.aspx 56. https://www.wildberries.ru/catalog/385982862/detail.aspx 57. https://www.wildberries.ru/catalog/381415674/detail.aspx 58. https://www.wildberries.ru/catalog/381415771/detail.aspx 59. https://www.wildberries.ru/catalog/381415675/detail.aspx 60. https://www.wildberries.ru/catalog/381415802/detail.aspx 61. https://www.wildberries.ru/catalog/381415676/detail.aspx 62. https://www.wildberries.ru/catalog/381415720/detail.aspx 63. https://www.wildberries.ru/catalog/385993321/detail.aspx 64. https://www.wildberries.ru/catalog/381415439/detail.aspx 65. https://www.wildberries.ru/catalog/381414132/detail.aspx 66. https://www.wildberries.ru/catalog/381415449/detail.aspx 67. https://www.wildberries.ru/catalog/372512155/detail.aspx 68. https://www.wildberries.ru/catalog/400237013/detail.aspx 69. https://www.wildberries.ru/catalog/400237012/detail.aspx 70. https://www.wildberries.ru/catalog/400236992/detail.aspx 71. https://www.wildberries.ru/catalog/400236990/detail.aspx 72. https://www.wildberries.ru/catalog/400236989/detail.aspx 73. https://www.wildberries.ru/catalog/400237032/detail.aspx 74. https://www.wildberries.ru/catalog/400236959/detail.aspx 75. https://www.wildberries.ru/catalog/397230089/detail.aspx 76. https://www.wildberries.ru/catalog/400237014/detail.aspx 77. https://www.wildberries.ru/catalog/400236984/detail.aspx 78. https://www.wildberries.ru/catalog/400236983/detail.aspx 79. https://www.wildberries.ru/catalog/400236982/detail.aspx 80. https://www.wildberries.ru/catalog/400236981/detail.aspx 81. https://www.wildberries.ru/catalog/400236972/detail.aspx 82. https://www.wildberries.ru/catalog/400236971/detail.aspx 83. https://www.wildberries.ru/catalog/400236970/detail.aspx 84. https://www.wildberries.ru/catalog/400236969/detail.aspx 85. https://www.wildberries.ru/catalog/400236964/detail.aspx 86. https://www.wildberries.ru/catalog/400236963/detail.aspx 87. https://www.wildberries.ru/catalog/400236962/detail.aspx 88. https://www.wildberries.ru/catalog/400236961/detail.aspx</w:t>
      </w:r>
    </w:p>
    <w:p>
      <w:pPr>
        <w:pStyle w:val="Heading3"/>
      </w:pPr>
      <w:r>
        <w:rPr>
          <w:rFonts w:ascii="Times New Roman" w:hAnsi="Times New Roman" w:eastAsia="Times New Roman" w:cs="Times New Roman"/>
          <w:b/>
          <w:i w:val="0"/>
          <w:sz w:val="22"/>
        </w:rPr>
        <w:t>Пункт 89.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89. </w:t>
      </w:r>
      <w:r>
        <w:rPr>
          <w:rFonts w:ascii="Times New Roman" w:hAnsi="Times New Roman" w:eastAsia="Times New Roman" w:cs="Times New Roman"/>
          <w:b w:val="0"/>
          <w:i w:val="0"/>
          <w:sz w:val="22"/>
        </w:rPr>
        <w:t>https://www.wildberries.ru/catalog/400236958/detail.aspx 90. https://www.wildberries.ru/catalog/400236957/detail.aspx 91. https://www.wildberries.ru/catalog/400236956/detail.aspx 92. https://www.wildberries.ru/catalog/390913110/detail.aspx 93. https://www.wildberries.ru/catalog/390913066/detail.aspx 94. https://www.wildberries.ru/catalog/390913063/detail.aspx Указанные обстоятельства подтверждаются скриншотами сайта от www.wildberries.ru. На основании изложенного истец полагает, что предлагаемые ответчиком к продаже товары маркированы обозначениями «Gliss Kur», «Persil», «Ласка», «Fa», «Schauma», «SYOSS», сходными до степени смешения с товарными знаками истца, и являются однородными по отношению к товарам, для которых зарегистрированы указанные товарные знаки. Согласно иску, ООО «Лаб Индастриз» заявило о взыскании 470 000 рублей компенсации за нарушение исключительных прав на основании следующего: за 1 факт нарушения истец требует 5 000 руб. Веб-страницы в сети Интернет являются независимыми, ответчик самостоятельно определяет содержание каждой веб-страницы (каждой карточки товара), поэтому каждый факт продажи (предложения к продаже) товаров на уникальных веб-станицах является самостоятельным нарушением, исходя из расчета 94 ссылки * 5 000 руб. = 470 000 рублей. В адрес ответчика была направлена претензия исх. № 42478 от 16.05.2025. Поскольку претензия не удовлетворена ответчиком добровольно, истец обратился в Арбитражный суд Красноярского края с настоящим иском о взыскании 470 000 руб. компенсации за нарушение исключительных прав на товарные знаки, 196, 40 руб. почтовых расходов. Ответчик против удовлетворения исковых требований возражал, представил в материалы дела отзыв на иск, согласно которому ссылается, что не получал претензию и иск по настоящему делу, кроме того полагает, что размер взыскиваемой компенсации, в случае признания исключительных прав нарушенными, завышен. Исследовав представленные доказательства, оценив доводы сторон, арбитражный суд пришел к следующим выводам. Согласно пункту 1 статьи 1229 Гражданского кодекса Российской Федерации гражданин или юридическое лицо, обладающие исключительным правом на результат интеллектуальной деятельности или на средство индивидуализации (правообладатель), вправе использовать такой результат или такое средство по своему усмотрению любым не противоречащим закону способом. Правообладатель может распоряжаться исключительным правом на результат интеллектуальной деятельности или на средство индивидуализации (статья 1233), если настоящим Кодексом не предусмотрено иное. Правообладатель может по своему усмотрению разрешать или запрещать другим лицам использование результата интеллектуальной деятельности или средства индивидуализации. Отсутствие запрета не считается согласием (разрешением). Другие лица не могут использовать соответствующие результат интеллектуальной деятельности или средство индивидуализации без согласия правообладателя, за исключением случаев, предусмотренных настоящим Кодексом. Использование результата интеллектуальной деятельности или средства индивидуализации (в том числе их использование способами, предусмотренными настоящим Кодексом), если такое использование осуществляется без согласия правообладателя, является незаконным и влечет ответственность, установленную настоящим Кодексом, другими законами, за исключением случаев, когда использование результата интеллектуальной деятельности или средства индивидуализации лицами иными, чем правообладатель, без его согласия допускается настоящим Кодексом. Согласно пункту 1 статьи 1250 Гражданского кодекса Российской Федерации интеллектуальные права защищаются способами, предусмотренными настоящим Кодексом, с учетом существа нарушенного права и последствий нарушения этого права. В силу пункта 1 статьи 1225 Гражданского кодекса Российской Федерации результатами интеллектуальной деятельности и приравненным к ним средствами индивидуализации юридических лиц, товаров, работ, услуг и предприятий, которым предоставляется правовая охрана (интеллектуальной собственностью), являются, в числе прочего, произведения науки, литературы и искусства, товарные знаки и знаки обслуживания. Интеллектуальная собственность охраняется законом (пункт 2 статьи 1225 Гражданского кодекса Российской Федерации). В соответствии с пунктом 1 статьи 1477 Гражданского кодекса Российской Федерации правом на товарный знак, то есть на обозначение, служащее для индивидуализации товаров юридических лиц или индивидуальных предпринимателей, признается исключительное право, удостоверяемое свидетельством на товарный знак. Согласно пункту 1 статьи 1484 Гражданского кодекса Российской Федерации лицу, на имя которого зарегистрирован товарный знак (правообладателю), принадлежит исключительное право использования товарного знака в соответствии со статьей 1229 настоящего Кодекса любым не противоречащим закону способом (исключительное право на товарный знак), в том числе способами, указанными в пункте 2 настоящей статьи. Правообладатель может распоряжаться исключительным правом на товарный знак. При этом исключительное право на товарный знак может быть осуществлено для индивидуализации товаров, работ или услуг, в отношении которых товарный знак зарегистрирован, в частности путем размещения товарного знака, в том числе, на товарах, в том числе на этикетках, упаковках товаров, которые производятся, предлагаются к продаже, продаются, демонстрируются на выставках и ярмарках или иным образом вводятся в гражданский оборот на территории Российской Федерации, либо хранятся или перевозятся с этой целью, либо ввозятся на территорию Российской Федерации (пункт 2 статьи 1484 Гражданского кодекса Российской Федерации). Пунктом 3 той же статьи предусмотрено, что никто не вправе использовать без разрешения правообладателя сходные с его товарным знаком обозначения в отношении товаров, для индивидуализации которых товарный знак зарегистрирован, или однородных товаров, если в результате такого использования возникнет вероятность смешения. По смыслу статьи 1515 Гражданского кодекса Российской Федерации нарушением исключительного права владельца товарного знака признается использование не только тождественного товарного знака, но и сходного с ним до степени смешения обозначения. Вопрос о сходстве до степени смешения является вопросом факта, может быть разрешен судом с позиции рядового потребителя и специальных знаний не требует (пункт 13 Информационного письма Президиума Высшего Арбитражного Суда Российской Федерации от 13.12.2007 № 122 «Обзор практики рассмотрения арбитражными судами дел, связанных с применением законодательства об интеллектуальной собственности»). Исходя из приведенных норм права, а также положений части 1 статьи 65 Арбитражного процессуального кодекса Российского Федерации, в предмет доказывания по требованию о защите права на товарный знак входят следующие обстоятельства: факт принадлежности истцу указанного права и факт его нарушения ответчиком путем использования товарного знака либо обозначения, сходного с ним до степени смешения. Вопреки доводам ответчика материалами дела подтверждается, что истец обладает исключительными правами на товарные знаки: «Персил» № 936497, «ФА» № 909997, «Ласка» № 155142, «СЬЕСС» № 931935, «Шаума» № 923735, «Глисс Кур» № 977821. Согласно пункту 3 статьи 1484 Гражданского кодекса Российской Федерации никто не вправе использовать без разрешения правообладателя сходные с его товарным знаком обозначения в отношении товаров, для индивидуализации которых товарный знак зарегистрирован, или однородных товаров, если в результате такого использования возникнет вероятность смешения. Для установления факта нарушения достаточно опасности, а не реального смешения товарного знака и спорного обозначения обычными потребителями соответствующих товаров. При этом смешение возможно, если в целом, несмотря на отдельные отличия, спорное обозначение может восприниматься указанными лицами в качестве соответствующего товарного знака или если потребитель может полагать, что обозначение используется тем же лицом или лицами, связанными с лицом, которому принадлежит товарный знак. Вероятность смешения товарного знака и спорного обозначения определяется исходя из степени сходства обозначений и степени однородности товаров для указанных лиц. При этом смешение возможно и при низкой степени сходства, но идентичности (или близости) товаров или при низкой степени однородности товаров, но тождестве (или высокой степени сходства) товарного знака и спорного обозначения. Однородность товаров устанавливается исходя из принципиальной возможности возникновения у обычного потребителя соответствующего товара представления о принадлежности этих товаров одному производителю. При этом, суд учитывает род (вид) товаров, их назначение, вид материала, из которого они изготовлены, условия сбыта товаров, круг потребителей, взаимодополняемость или взаимозаменяемость и другие обстоятельства. Установление сходства осуществляется судом по результатам сравнения товарного знака и обозначения (в том числе по графическому, звуковому и смысловому критериям) с учетом представленных сторонами доказательств по своему внутреннему убеждению. При этом суд учитывает, в отношении каких элементов имеется сходство - сильных или слабых элементов товарного знака и обозначения. Сходство лишь неохраняемых элементов во внимание не принимается. Специальных знаний для установления степени сходства обозначений и однородности товаров не требуется. При наличии соответствующих доказательств суд, определяя вероятность смешения товарного знака и спорного обозначения, оценивает и иные обстоятельства, в том числе: используется ли товарный знак правообладателем в отношении конкретных товаров; длительность и объем использования товарного знака правообладателем; степень известности, узнаваемости товарного знака; степень внимательности потребителей (зависящая, в том числе, от категории товаров и их цены); наличие у правообладателя серии товарных знаков, объединенных общим со спорным обозначением элементом. Суд учитывает влияние степени сходства обозначений, степени однородности товаров, иных обстоятельств на вероятность смешения, а не каждого из соответствующих обстоятельств друг на друга. В рамках мониторинга сети Интернет установлено, что ответчик допустил нарушение исключительных прав истца в формах предложения к продаже товаров, незаконно маркированных обозначениями, схожими до степени смешения с товарными знаками истца, на сайте торговой площадки. Товары предлагаются к продаже ответчиком по адресным ссылкам:</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https://www.wildberries.ru/catalog/343845910/detail.aspx 2. https://www.wildberries.ru/catalog/343845907/detail.aspx 3. https://www.wildberries.ru/catalog/343845909/detail.aspx 4. https://www.wildberries.ru/catalog/343845908/detail.aspx 5. https://www.wildberries.ru/catalog/371570349/detail.aspx 6. https://www.wildberries.ru/catalog/371570351/detail.aspx 7. https://www.wildberries.ru/catalog/371570353/detail.aspx 8. https://www.wildberries.ru/catalog/371570347/detail.aspx 9. https://www.wildberries.ru/catalog/371570350/detail.aspx</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https://www.wildberries.ru/catalog/371570348/detail.aspx 11. https://www.wildberries.ru/catalog/371570352/detail.aspx 12. https://www.wildberries.ru/catalog/334974328/detail.aspx 13. https://www.wildberries.ru/catalog/316651089/detail.aspx 14. https://www.wildberries.ru/catalog/316651101/detail.aspx 15. https://www.wildberries.ru/catalog/311451063/detail.aspx 16. https://www.wildberries.ru/catalog/349304258/detail.aspx 17. https://www.wildberries.ru/catalog/343845895/detail.aspx 18. https://www.wildberries.ru/catalog/334974422/detail.aspx 19. https://www.wildberries.ru/catalog/343845911/detail.aspx 20. https://www.wildberries.ru/catalog/343845912/detail.aspx 21. https://www.wildberries.ru/catalog/343845913/detail.aspx 22. https://www.wildberries.ru/catalog/343845914/detail.aspx 23. https://www.wildberries.ru/catalog/343846019/detail.aspx 24. https://www.wildberries.ru/catalog/349304246/detail.aspx 25. https://www.wildberries.ru/catalog/334974394/detail.aspx 26. https://www.wildberries.ru/catalog/316651079/detail.aspx 27. https://www.wildberries.ru/catalog/316651111/detail.aspx 28. https://www.wildberries.ru/catalog/349287867/detail.aspx 29. https://www.wildberries.ru/catalog/349304250/detail.aspx 30. https://www.wildberries.ru/catalog/334974395/detail.aspx 31. https://www.wildberries.ru/catalog/334974396/detail.aspx 32. https://www.wildberries.ru/catalog/334974397/detail.aspx 33. https://www.wildberries.ru/catalog/334974407/detail.aspx 34. https://www.wildberries.ru/catalog/349304259/detail.aspx 35. https://www.wildberries.ru/catalog/343845897/detail.aspx 36. https://www.wildberries.ru/catalog/343845891/detail.aspx 37. https://www.wildberries.ru/catalog/343845893/detail.aspx 38. https://www.wildberries.ru/catalog/343845892/detail.aspx 39. https://www.wildberries.ru/catalog/343845894/detail.aspx 40. https://www.wildberries.ru/catalog/343846009/detail.aspx 41. https://www.wildberries.ru/catalog/343846010/detail.aspx 42. https://www.wildberries.ru/catalog/343846029/detail.aspx 43. https://www.wildberries.ru/catalog/343846041/detail.aspx 44. https://www.wildberries.ru/catalog/343846030/detail.aspx 45. https://www.wildberries.ru/catalog/343846040/detail.aspx 46. https://www.wildberries.ru/catalog/343846014/detail.aspx 47. https://www.wildberries.ru/catalog/343846037/detail.aspx 48. https://www.wildberries.ru/catalog/343846013/detail.aspx 49. https://www.wildberries.ru/catalog/343846015/detail.aspx 50. https://www.wildberries.ru/catalog/343846026/detail.aspx 51. https://www.wildberries.ru/catalog/343846036/detail.aspx 52. https://www.wildberries.ru/catalog/343846038/detail.aspx 53. https://www.wildberries.ru/catalog/343846025/detail.aspx 54. https://www.wildberries.ru/catalog/343846024/detail.aspx 55. https://www.wildberries.ru/catalog/343846018/detail.aspx 56. https://www.wildberries.ru/catalog/385982862/detail.aspx 57. https://www.wildberries.ru/catalog/381415674/detail.aspx 58. https://www.wildberries.ru/catalog/381415771/detail.aspx 59. https://www.wildberries.ru/catalog/381415675/detail.aspx 60. https://www.wildberries.ru/catalog/381415802/detail.aspx 61. https://www.wildberries.ru/catalog/381415676/detail.aspx</w:t>
      </w:r>
    </w:p>
    <w:p>
      <w:pPr>
        <w:pStyle w:val="Heading3"/>
      </w:pPr>
      <w:r>
        <w:rPr>
          <w:rFonts w:ascii="Times New Roman" w:hAnsi="Times New Roman" w:eastAsia="Times New Roman" w:cs="Times New Roman"/>
          <w:b/>
          <w:i w:val="0"/>
          <w:sz w:val="22"/>
        </w:rPr>
        <w:t>Пункт 62. Правовой анализ</w:t>
      </w:r>
    </w:p>
    <w:p>
      <w:pPr>
        <w:spacing w:after="120" w:before="160"/>
        <w:ind w:firstLine="720"/>
        <w:jc w:val="both"/>
      </w:pPr>
      <w:r>
        <w:rPr>
          <w:rFonts w:ascii="Times New Roman" w:hAnsi="Times New Roman" w:eastAsia="Times New Roman" w:cs="Times New Roman"/>
          <w:b/>
          <w:i w:val="0"/>
          <w:sz w:val="22"/>
        </w:rPr>
        <w:t xml:space="preserve">62. </w:t>
      </w:r>
      <w:r>
        <w:rPr>
          <w:rFonts w:ascii="Times New Roman" w:hAnsi="Times New Roman" w:eastAsia="Times New Roman" w:cs="Times New Roman"/>
          <w:b w:val="0"/>
          <w:i w:val="0"/>
          <w:sz w:val="22"/>
        </w:rPr>
        <w:t>https://www.wildberries.ru/catalog/381415720/detail.aspx 63. https://www.wildberries.ru/catalog/385993321/detail.aspx 64. https://www.wildberries.ru/catalog/381415439/detail.aspx 65. https://www.wildberries.ru/catalog/381414132/detail.aspx 66. https://www.wildberries.ru/catalog/381415449/detail.aspx 67. https://www.wildberries.ru/catalog/372512155/detail.aspx 68. https://www.wildberries.ru/catalog/400237013/detail.aspx 69. https://www.wildberries.ru/catalog/400237012/detail.aspx 70. https://www.wildberries.ru/catalog/400236992/detail.aspx 71. https://www.wildberries.ru/catalog/400236990/detail.aspx 72. https://www.wildberries.ru/catalog/400236989/detail.aspx 73. https://www.wildberries.ru/catalog/400237032/detail.aspx 74. https://www.wildberries.ru/catalog/400236959/detail.aspx 75. https://www.wildberries.ru/catalog/397230089/detail.aspx 76. https://www.wildberries.ru/catalog/400237014/detail.aspx 77. https://www.wildberries.ru/catalog/400236984/detail.aspx 78. https://www.wildberries.ru/catalog/400236983/detail.aspx 79. https://www.wildberries.ru/catalog/400236982/detail.aspx 80. https://www.wildberries.ru/catalog/400236981/detail.aspx 81. https://www.wildberries.ru/catalog/400236972/detail.aspx 82. https://www.wildberries.ru/catalog/400236971/detail.aspx 83. https://www.wildberries.ru/catalog/400236970/detail.aspx 84. https://www.wildberries.ru/catalog/400236969/detail.aspx 85. https://www.wildberries.ru/catalog/400236964/detail.aspx 86. https://www.wildberries.ru/catalog/400236963/detail.aspx 87. https://www.wildberries.ru/catalog/400236962/detail.aspx 88. https://www.wildberries.ru/catalog/400236961/detail.aspx 89. https://www.wildberries.ru/catalog/400236958/detail.aspx 90. https://www.wildberries.ru/catalog/400236957/detail.aspx 91. https://www.wildberries.ru/catalog/400236956/detail.aspx 92. https://www.wildberries.ru/catalog/390913110/detail.aspx 93. https://www.wildberries.ru/catalog/390913066/detail.aspx 94. https://www.wildberries.ru/catalog/390913063/detail.aspx Указанные обстоятельства подтверждаются скриншотами сайта от www.wildberries.ru. Исследовав скриншоты, а также товарные знаки истца, суд полагает, что предлагаемые ответчиком к продаже товары маркированны обозначениями «Gliss Kur», «Persil», «Ласка», «Fa», «Schauma», «SYOSS», сходными до степени смешения с товарными знаками истца, являются однородными по отношению к товарам, для которых зарегистрированы указанные товарные знаки. Оценив сходность предлагаемого к реализации ответчиком товара с товарными знаками, поименованными выше, руководствуясь общим восприятием не отдельных элементов, а объектов авторских прав в целом (общим впечатлением), учитывая не только визуальное сходство, но и различительную способность, суд усматривает возможность реального их смешения в глазах потребителей. Поскольку для признания сходства достаточно уже самой опасности, а не реального его смешения в глазах потребителей, суд полагает, что образцы товара сходны до степени смешения с товарными знаками истца. Доказательства, подтверждающие передачу ответчику исключительных прав на использование вышеуказанных товарных знаков, в материалах дела отсутствуют. В связи с чем, суд считает доказанным факт нарушения ответчиком исключительных прав истца. На основании пункта 3 статьи 1250 Гражданского кодекса Российской Федерации, если иное не установлено настоящим Кодексом, предусмотренные подпунктом 3 пункта 1 и пунктом 3 статьи 1252 настоящего Кодекса меры ответственности за нарушение интеллектуальных прав, допущенное нарушителем при осуществлении им предпринимательской деятельности, подлежат применению независимо от вины нарушителя, если такое лицо не докажет, что нарушение интеллектуальных прав произошло вследствие непреодолимой силы, то есть чрезвычайных и непредотвратимых при данных условиях обстоятельств. Деятельность ответчика является предпринимательской и осуществляется с учетом рисков и возможных негативных последствий, ей присущих. Следовательно, он подлежит привлечению к ответственности за нарушение исключительных прав и при отсутствии его вины. Доказательств того, что предложение к продажи спорного товара производилась с согласия его правообладателя, ответчиком не представлено, в связи с чем суд находит действия ответчика неправомерными, нарушающими исключительные права истца. В силу пункта 4 статьи 1515 Гражданского кодекса Российской Федерации правообладатель вправе требовать по своему выбору от нарушителя вместо возмещения убытков выплаты компенсации: 1) в размере от десяти тысяч до пяти миллионов рублей, определяемом по усмотрению суда исходя из характера нарушения; 2) в двукратном размере стоимости товаров, на которых незаконно размещен товарный знак, или в двукратном размере стоимости права использования товарного знака, определяемой исходя из цены, которая при сравнимых обстоятельствах обычно взимается за правомерное использование товарного знака. В соответствии с пунктом 61 Постановления Пленума Верховного Суда Российской Федерации от 23.04.2019 № 10 «О применении части четвертой Гражданского кодекса Российской Федерации» заявляя требование о взыскании компенсации в размере от 10 тысяч до 5 миллионов рублей, определяемом по усмотрению суда, истец должен представить обоснование размера взыскиваемой суммы, подтверждающее, по его мнению, соразмерность требуемой им суммы компенсации допущенному нарушению, за исключением требования о взыскании компенсации в минимальном размере. Согласно пункту 62 названного Постановления рассматривая дела о взыскании компенсации, суд, по общему правилу, определяет ее размер в пределах, установленных Гражданского кодекса Российской Федерации. По требованиям о взыскании компенсации в размере от 10 тысяч до 5 миллионов рублей суд определяет сумму компенсации, исходя из представленных сторонами доказательств не выше заявленного истцом требования. Суд определяет размер подлежащей взысканию компенсации и принимает решение, учитывая, что истец представляет доказательства, обосновывающие размер компенсации, а ответчик вправе оспорить как факт нарушения, так и размер требуемой истцом компенсации. Размер подлежащей взысканию компенсации должен быть судом обоснован. При определении размера компенсации суд учитывает, в частности, характер допущенного нарушения (в частности, размещен ли товарный знак на товаре самим правообладателем или третьими лицами без его согласия, осуществлено ли воспроизведение экземпляра самим правообладателем или третьими лицами и т.п.), срок незаконного использования результата интеллектуальной деятельности или средства индивидуализации, наличие и степень вины нарушителя (в том числе носило ли нарушение грубый характер, допускалось ли оно неоднократно), вероятные имущественные потери правообладателя, являлось ли использование результатов интеллектуальной деятельности или средств индивидуализации, права на которые принадлежат другим лицам, существенной частью хозяйственной деятельности нарушителя, и принимает решение исходя из принципов разумности и справедливости, а также соразмерности компенсации последствиям нарушения. Снижение размера компенсации ниже минимального предела, установленного законом, является экстраординарной мерой, должно быть мотивировано судом и обязательно подтверждено соответствующими доказательствами. Согласно иску, ООО «Лаб Индастриз» заявило о взыскании 470 000 рублей компенсации за нарушение исключительных прав на основании следующего расчета: за 1 факт нарушения 5 000 руб. (ниже низшего предела) 94 ссылки * 5 000 рублей = 470 000 руб. Суд соглашается с позицией истца, что веб-страницы в сети Интернет являются независимыми, ответчик самостоятельно определяет содержание каждой веб-страницы (каждой карточки товара), поэтому каждый факт продажи (предложения к продаже) товаров на уникальных веб-станицах является самостоятельным нарушением. В материалах дела отсутствуют доказательства того, что ответчиком предпринимались необходимые меры и была проявлена разумная осмотрительность с тем, чтобы избежать незаконного использования права, принадлежащего другому лицу. Предпринимателем не представлено доказательств наличия совокупности критериев, изложенных в постановлении Конституционного Суда Российской Федерации от 13.12.2016 № 28-П, равно как и не представлено достоверных доказательств, явно свидетельствующих о возможности подобного снижения по изложенным критериям. С учетом изложенного у суда отсутствуют правовые основания для снижения размера компенсации. По мнению суда, компенсация в сумме по 5 000 руб. за каждый факт нарушения (всего доказано 94 фактов нарушения прав истца) является соразмерной последствиям нарушения и соответствует принципу разумности и справедливости с учетом характера допущенного нарушения и иных установленных по делу обстоятельств. Указанный размер компенсации ниже низшего предела, установленного законом. Взыскание такой суммы компенсации позволяет не только возместить стороне (истцу) убытки, в связи с неправомерным использованием, принадлежащих ему исключительных прав на товарные знаки при осуществлении ответчиком предпринимательской деятельности, но и удержать ответчика от нарушения интересов истца в будущем. Суд учитывает, что сам по себе факт осуществления продажи (предложения к продаже) товара субъектом предпринимательской деятельности без соответствующего разрешения правообладателя создает конкуренцию лицензионному товару, в том числе, с учетом более низкой цены в отсутствие каких-либо выплат в пользу правообладателя; снижается инвестиционная привлекательность интеллектуальной собственности истцов для лицензиатов из-за широкого распространения контрафакта. Истцом также заявлено требование о взыскании с ответчика судебных издержек в размере стоимости почтовых отправлений в виде претензии и иска в размере 196,40 руб. В соответствии со статьей 112 АПК РФ вопросы распределения судебных расходов разрешаются арбитражным судом, рассматривающим дело, в судебном акте, которым заканчивается рассмотрения дела по существу, или в определении. Арбитражный процессуальный кодекс Российской Федерации не исключает возможности рассмотрения арбитражным судом заявления о распределении судебных расходов в том же деле и тогда, когда оно подано после принятия судебного решения судом первой инстанции. В силу статьи 106 АПК РФ ,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Судебные расходы, понесенные лицами, участвующими в деле, в пользу которых принят судебный акт, взыскиваются арбитражным судом со стороны.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(части 1, 2 статьи 110 АПК РФ ). Заявленные истцом судебные издержки понесены в связи с рассмотрением настоящего дела (отправкой ответчику претензии, а также копии иска и приложенных к нему документов), подтверждены почтовыми квитанциями. Таким образом, заявленные истцом судебные издержки подлежат взысканию с ответчика в размере стоимости почтовых отправлений – 196,40 руб. С учетом результатов рассмотрения настоящего спора (исковые требования удовлетворены в полном объеме) расходы истца по уплате государственной пошлины подлежат отнесению на ответчика в полном объеме Руководствуясь статьями 15 , 110 , 167 – 170 , 177 , 229 Арбитражного процессуального кодекса Российской Федерации, Арбитражный суд Красноярского края РЕШИЛ: исковые требования удовлетворить. Взыскать с общества с ограниченной ответственностью "Кенгуру" (ИНН &lt;***&gt;, ОГРН &lt;***&gt;) в пользу общества с ограниченной ответственностью "Лаб Индастриз" (ИНН &lt;***&gt;, ОГРН &lt;***&gt;) 470 000 руб. компенсации, 28 500 руб. судебных расходов по государственной пошлине, 196,40 руб. почтовых расходов. Настоящее решение подлежит немедленному исполнению и может быть обжаловано в течение пятнадцати дней после его принятия, а в случае составления мотивированного решения – в течение пятнадцати дней со дня изготовления решения в полном объеме, путём подачи апелляционной жалобы в Третий арбитражный апелляционный суд через Арбитражный суд Красноярского края. Разъяснить лицам, участвующим в деле, что настоящее решение выполнено в форме электронного документа, подписано усиленной квалифицированной электронной подписью судьи и считается направленным лицам, участвующим в деле, посредством его размещения в установленном порядке в информационно-телекоммуникационной сети «Интернет». По ходатайству лиц, участвующих в деле, копии резолютивной части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Лица, участвующие в деле, вправе в течение 5 дней со дня размещения резолютивной части решения в установленном порядке в информационно-телекоммуникационной сети «Интернет» обратиться в суд с заявлением о составлении мотивированного решения. Исполнительный лист на настоящее решение до истечения срока на обжалование в суде апелляционной инстанции выдается только по заявлению взыскателя. Судья А.А. Горбатова Суд: АС Красноярского края (подробнее) Истцы: ООО "ЛАБ ИНДАСТРИЗ" (подробнее) Ответчики: ООО "КЕНГУРУ" (подробнее) Судьи дела: Горбатова А.А. (судья) (подробнее) Последние документы по делу: Решение от 15 октября 2025 г. по делу № А33-21266/2025 Резолютивная часть решения от 25 сентября 2025 г. по делу № А33-21266/2025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