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Саратов</w:t>
      </w:r>
    </w:p>
    <w:p>
      <w:pPr>
        <w:spacing w:after="200"/>
        <w:jc w:val="center"/>
      </w:pPr>
      <w:r>
        <w:rPr>
          <w:rFonts w:ascii="Times New Roman" w:hAnsi="Times New Roman" w:eastAsia="Times New Roman" w:cs="Times New Roman"/>
          <w:b w:val="0"/>
          <w:i w:val="0"/>
          <w:sz w:val="22"/>
        </w:rPr>
        <w:t>04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Здание физкультурно-оздоровительного комплекса (бани) - по местоположению соответствует зданию ФОК литера Б11 с кадастровым номером 64:32:021102:163 (фото №№ 11,12).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Здание физкультурно-оздоровительного комплекса (бани) - по местоположению соответствует зданию ФОК литера Б10 с кадастровым номером 64:32:021102:161 (фото№№ 13, 14).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Здание спального домика двухэтажное с мансардным' этажом - по местоположению соответствует зданию спального домика литера А45 с кадастровым номером 64:32:000000:19746, визуально изменен, достроен мансардный этаж (фото №№ 4, 5).</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Здание спального домика двухэтажное с чердаков - по местоположению соответствует зданию спального домика литера А46 с кадастровым номером 64:48:000000:42650, визуально изменен (фото №№ 6).</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Здание спального домика двухэтажное с чердаком - по местоположению соответствует зданию спального домика литера А47 с кадастровым номером 64:48:000000:42651, визуально изменен (фото №№ 7).</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Здание спального домика двухэтажное с чердаком - по местоположению соответствует зданию спального домика литера А49 с кадастровым номером 64:48:000000:42372, визуально изменен (фото №№ 8).</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Здание спального домика двухэтажное с чердаком - по местоположению соответствует зданию спального домика литера А50 с кадастровым номером 64:32:000000:19745, визуально изменен (фото №№ 9).</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Здание спального домика двухэтажное с чердаком - по местоположению соответствует зданию спального домика литера А51 с кадастровым номером 64:32:000000:19744, визуально изменен (фото №№ 10).</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Одноэтажное здание подстанции с пристройкой — по местоположению и характеристикам соответствует зданию подстанции литера А60А61 с кадастровым номером 64:32:000000:4105 (фото №№ 15, 16). 10.Разрушенное и частично восстановленное с использованием алюминиевых каркасных конструкций одноэтажное здание бывшей столовой, используется как склад- по местоположению соответствует зданию столовой литера А52 с кадастровым номером 64:32:000000:19754 (фото №№ 17,18,19).</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Частично разрушенное одноэтажное (полуподземное) здание овощехранилища, используется по назначению — по местоположению соответствует зданию овощехранилища литера А54 с кадастровым номером 64:32:000000:19743 (фото №№ 20,21).</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Одноэтажное здание, частично разрушено, обшито алюминиевыми листами - по местоположению ориентировочно соответствует нежилому одноэтажному зданию литера А55 с кадастровым номером 64:32:000000:19597 (фото №№ 22,23).</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Одноэтажное здание, частично разрушено, обшито алюминиевыми листами — по местоположению соответствует зданию административного домика литера А53 с кадастровым номером 64:48:000000:43258 (фото №№ 24, 25).</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Одноэтажное здание, частично разрушено - по местоположению ориентировочно соответствует зданию спального домика литера, АЗ5АЗ6 с кадастровым номером 64:32:000000:19380 (фото № 26). Остальные объекты, состоящие на кадастровом учете, на земельном участке фактически отсутствуют. На земельном участке также расположено 4 объекта, которые не состоят на кадастровом учете. Правоустанавливающие документы на объекты в ходе осмотра не предоставлены, сведения о регистрации права на них в ЕГРН отсутствуют: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Помещение беседки (в процессе строительства) - фото № 27;</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Здание бани без печи (в процессе строительства) — фото № 28;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Частично разрушенное здание насосной станции - фото № 29;</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Здание сторожки одноэтажное - фото № 30. В границах земельного участка также установлено фактическое наличие коммунальных объектов и сетей (водоснабжения и водоотведения, электроснабжения) - фото №№ 37, 38, 39. Кроме этого, на земельном участке расположены следующие объекты: объекты бытового и складского назначения, визуально являющиеся переносными некапитальными конструкциями (вагончики из металлоконструкции и брезентовые палатки) - фото №№ 40-45; детская площадка, фото № 46; теплица, фото № 47; дебаркедер, фото № 48-49; вертолетная площадка, фото 50-51. Указанный перечень имущества составляет единый комплекс, эксплуатируемый во взаимосвязи. Иные Представленные Ответчиком в материалы дела доказательства не относятся к предмету спора, а доводы относительно «добросовестного приобретателя» спорных объектов опровергаются материалами дела и являются несостоятельными. Ответчиком заявлено ходатайство об истечении срока исковой давности, которое судом отклоняется в силу следующего. В силу пункта 1 статьи 196 ГК РФ общий срок исковой давности составляет три года со дня, определяемого в соответствии со статьей 200 ГК РФ . Срок исковой давности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для вынесения судом решения об отказе в иске (пункт 2 статьи 199 ГК РФ ). В соответствии с пунктом 1 статьи 200 ГК РФ ,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4 Постановления Пленума Верховного Суда Российской Федерации от 29.09.2015 N 43 "О некоторых вопросах, связанных с применением норм Гражданского кодекса Российской Федерации об исковой давности" (далее-Постановление N 43) разъяснено, что в силу пункта 1 статьи 200 ГК РФ срок исковой давности по требованиям публично-правовых образований в лице уполномоченных органов исчисляется со дня, когда публично-правовое образование в лице таких органов узнало или должно было узнать о нарушении его прав, в частности, о передаче имущества другому лицу, совершении действий, свидетельствующих об использовании другим лицом спорного имущества, например, земельного участка, и о том, кто является надлежащим ответчиком по иску о защите этого права. В рассматриваемом случае суд учитывает, что начало течения срока исковой давности следует исчислять с момента, когда Российская Федерация в лице своих исполнительных органов, уполномоченных на управление и распоряжение федеральным имуществом, узнала или должна была узнать о допущенных при приватизации предприятия нарушениях и о том, в чьем незаконном владении находится выбывшее помимо ее воли имущество, поскольку именно с момента установления указанных выше обстоятельств, выявления нарушения порядка проведения приватизации и установления текущих владельцев спорного имущества у истца появилась реальная возможность надлежащим образом предъявить исковые требования. Каких-либо доказательств, подтверждающих, что уполномоченные на управление и распоряжение федеральным имуществом органы государственной власти Российской Федерации ранее знали или должны были знать о нарушении своего права и о том, кто является надлежащим ответчиком по настоящему делу, в материалы настоящего дела не представлено. Срок исковой давности по заявлению об истребовании имущества из чужого незаконного владения начинает течь с момента, когда истец узнал или должен был узнать о выбытии имущества из его владения и о том, кто является надлежащим ответчиком. В данном случае собственник государственного имущества не уведомлялся о приватизации и о сделках, совершаемых с объектами в последующем, их собственниках. Доказательств обратного суду не представлено. Объективная возможность надлежащим образом предъявить исковые требования появилась у прокуратуры только в связи и после выявления в ходе надзорных мероприятий нарушения порядка проведения приватизации и установления текущих владельцев спорного имущества. Доводы ответчика о невозможности исчисления сроков исковой давности с даты проведения проверки прокуратуры, ввиду бездействия уполномоченных органов противоречат существу прокурорского надзора и роли прокурора, ставят под сомнения возможности реализации прокурором своих полномочий и функций. Подобный подход противоречит позиции Конституционного суда Российской Федерации, согласно которой переход права собственности сам по себе не может расцениваться как критерий, влияющий на течение срока давности. Суду следует определять момент, с которого стало известно о допущенных нарушениях закона с учетом фактических обстоятельств дела (Определение от 14.04.2025 №913 и 914-0). Конституционный Суд Российской Федерации неоднократно указывал, что положения статьи 200 ГК Российской Федерации наделяют суд для эффективного осуществления правосудия необходимыми дискреционными полномочиями по определению момента начала течения срока исковой давности исходя из фактических обстоятельств дела (определения от 16 июля 2015 года № 1681-0, от 29 сентября 2016 года № 1982-0, от 30 мая 2024 года № 1264-0, от 24 декабря 2024 года № 3560-0 и др.). В Постановлении от 31 октября 2024 года № 49-П, придя к выводу о том, что в действующем регулировании какой-либо срок, ограничивающий возможность подачи прокурором искового заявления с требованиями об обращении в доход Российской Федерации имущества как приобретенного вследствие нарушения лицом, замещающим (занимающим) или замещавшим (занимавшим) публично значимую должность, требований и запретов, направленных на предотвращение коррупции, в том числе имущества, в которое первоначально приобретенное вследствие указанных нарушений имущество (доходы от этого имущества) было частично или полностью превращено или преобразовано, считается неустановленным, Конституционный Суд Российской Федерации отметил, что данный вывод не может быть автоматически распространен на решение вопроса о применимости или неприменимости исковой давности к иным, помимо указанных, исковым заявлениям Генерального прокурора Российской Федерации или подчиненных ему прокуроров, направленным на передачу имущества публично-правовым образованиям или признание их права на имущество, в том числе основанным на нарушении порядка приватизации. Как указал Конституционный суд Российской Федерации (Определение №914-0 от 14.04.2025) переход права собственности на объект социально-культурного или коммунально-бытового назначения от лица, его приватизировавшего, к новому собственнику сам по себе не может рассматриваться ни как момент прекращения действия условия об использовании имущества по назначению, ни как критерий, влияющий на течение срока исковой давности по требованиям, связанным с нарушением этого условия. То же касается и последующих переходов прав на данный объект, тем более, когда соответствующее имущество передается лицу, созданному предшествующим собственником или в результате реорганизации последнего либо иным образом с ним аффилированному. При таких обстоятельствах, основания для применения заявления о пропуске срока исковой давности отсутствуют, а требования Заместителя прокурора Саратовской области в интересах Российской Федерации в лице Территориального управления Федерального агентства по управлению государственным имуществом в Саратовской области подлежат удовлетворению в полном объеме. Согласно пункту 52 Постановления Пленума Верховного Суда РФ N 10, Пленума ВАС РФ N 22 от 29.04.2010 "О некоторых вопросах, возникающих в судебной практике при разрешении споров, связанных с защитой права собственности и других вещных прав" в соответствии с пунктом 1 статьи 2 Федерального закона "О государственной регистрации прав на недвижимое имущество и сделок с ним" (далее - Закон о регистрации) государственная регистрация прав на недвижимое имущество и сделок с ним - это юридический акт признания и подтверждения государством возникновения, ограничения (обременения), перехода или прекращения прав на недвижимое имущество в соответствии с ГК РФ. Государственная регистрация является единственным доказательством существования зарегистрированного права. Зарегистрированное право на недвижимое имущество может быть оспорено только в судебном порядке. Поскольку при таком оспаривании суд разрешает спор о гражданских правах на недвижимое имущество, соответствующие требования рассматриваются в порядке искового производства. Оспаривание зарегистрированного права на недвижимое имущество осуществляется путем предъявления исков, решения по которым являются основанием для внесения записи в ЕГРП. В частности, если в резолютивной части судебного акта решен вопрос о наличии или отсутствии права либо обременения недвижимого имущества, о возврате имущества во владение его собственника, о применении последствий недействительности сделки в виде возврата недвижимого имущества одной из сторон сделки, то такие решения являются основанием для внесения записи в ЕГРП. Настоящее решение является основанием для погашения записи в ЕГРН в отношении права собственности ответчика на зарегистрированные объекты. Судебные расходы по госпошлине распределяются по ст. 110 АПК РФ и возлагаются на ответчика. Руководствуясь статьями 110 , 167 - 171 , 176 , 180 , 181 Арбитражного процессуального кодекса Российской Федерации, арбитражный суд, РЕШИЛ: Исковые требования удовлетворить. Истребовать из чужого незаконного владения Эволюшн системе с.р.о., Чешская Республика, объект - база отдыха туристическая база «Разлив», включающую земельный участок с кадастровым номером 64:32:021402:5, площадью 130 000 кв.м, расположенный по адресу: Саратовская область, р-н Саратовский, Вольновское МО, на расстоянии 0,2 км. южнее д. Козловка, а также нижеследующие объекты движимого и недвижимого имущества: здание с кадастровым номером 64:32:021102:163, здание с кадастровым номером 64:32:021102:161, здание спального домика двухэтажное с кадастровым номером 64:32:000000:19746, здание спального домика с кадастровым номером 64:48:000000:42650, здание спального домика двухэтажное с кадастровым номером 64:48:000000:42651, здание спального домика с кадастровым номером 64:48:000000:42372, здание спального домика с кадастровым номером 64:32:000000:19745, здание спального домика с кадастровым номером 64:32:000000:19744, одноэтажное здание подстанции с кадастровым номером 64:32:000000:4105, одноэтажное здание с кадастровым номером 64:32:000000:19754, одноэтажное (полуподземное) здание с кадастровым номером 64:32:000000:19743, одноэтажное здание с кадастровым номером 64:32:000000:19597, одноэтажное здание с кадастровым номером 64:48:000000:43258, одноэтажное здание, спального домика с кадастровым номером 64:32:000000:19380, незавершенный объект строительства-беседка, незавершенный объект строительства баня, здание насосной станции, одноэтажное здание сторожки, коммунальные сети водоснабжения, водоотведения и канализации, сооружение детская площадка, теплица, дебаркадер и вертолетную площадку. Взыскать с Эволюшн системе с.р.о., Прага Чешская Республика (ИНН &lt;***&gt;) в доход федерального бюджета сумму госпошлины в размере 50000 руб. Решение арбитражного суда вступает в законную силу по истечении месячного срока со дня его принятия, если не подана апелляционная жалоба. Решение может быть обжаловано в Двенадцатый арбитражный апелляционный суд в течение одного месяца со дня изготовления решения в полном объеме, через Арбитражный суд Саратовской области. Лицам, участвующим в деле, разъясняется, что информация о принятых по делу судебных актах размещается на официальном сайте Арбитражного суда Саратовской области http://www.saratov.arbitr.ru. Судья Арбитражного суда Саратовской области Е.В.Михайлова Суд: АС Саратовской области (подробнее) Истцы: Заместитель прокурора области в интересах РФ, в лице ТУ Федерального агентства по управлению государственным имуществом в Саратовской области (подробнее) Иные лица: Прокуратура г.Саратова (подробнее) Судьи дела: Михайлова Е.В. (судья) (подробнее) Последние документы по делу: Решение от 3 октября 2025 г. по делу № А57-12563/2024 Резолютивная часть решения от 23 сентября 2025 г. по делу № А57-12563/2024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 Исковая давность, по срокам давности Судебная практика по применению норм ст. 200, 202, 204, 205 ГК РФ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