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"Контур" в пользу публичного акционерного общества Судостроительный завод "Северная верфь": - денежные средства в размере 1 113 600 рублей, - проценты за пользование чужими денежными средствами в порядке ст. 395 Гражданского кодекса Российской Федерации в размере 113 648,22 рублей, - проценты за пользование чужими денежными средствами в соответствии с п. 1 ст. 395 Гражданского кодекса Российской Федерации в отношении неоплаченной части суммы задолженности в размере 1 113 600 рублей, начиная с 10.09.2025 г. по дату фактической оплаты задолженности, - расходы по оплате государственной пошлины в размере 61 817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публичному акционерному обществу Судостроительный завод "Северная верфь" из федерального бюджета 1 560 рублей государственной пошлины, уплаченной по платежному поручению № 470523 от 26.03.2025. Решение может быть обжаловано в Тринадцатый арбитражный апелляционный суд в течение месяца со дня принятия Решения. Судья Киселева А.О. Суд: АС Санкт-Петербурга и Ленинградской обл. (подробнее) Истцы: ПАО СУДОСТРОИТЕЛЬНЫЙ ЗАВОД "СЕВЕРНАЯ ВЕРФЬ" (подробнее) Ответчики: ООО "Контур" (подробнее) Судьи дела: Киселева А.О.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