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 государственном кадастровом учете недвижимого имущества и (или) государственной регистрации прав на недвижимое имущество от 19.07.2021 № MFC-0214/2021-183739-7 в подлиннике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Доверенность от 03.07.2020 № 1994573, 39АА копия;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Платежное поручение от 14.07.2021 г. № 285 (22 000 руб. 00 коп., Общество с ограниченной ответственностью «МК-Монтаж» (ФИО4)) в подлиннике на 1 листе. Поскольку иных документов для государственной регистрации права на машино- место КН 39:15:132608:2177 заявитель не представил, доводы Управления о невозможности вернуть 06.09.2024 представленные документы подлежат отклонению. Следует отметить, что все регистрационные действия регистрирующего органа, включая прекращение государственной регистрации, саму государственную регистрацию, отказ в регистрации и возвращение документов без рассмотрения, сопровождаются возвращением заявителю оригиналов документов. В тоже время Управлением не даны пояснения по какой причине регистрирующий орган не прекратил государственную регистрацию прав 27.09.2024 в день отказа в государственной регистрации (тем более что и при отказе в государственной регистрации права, никакие документы заявителю возвращены не были. Как обоснованно установлено судом первой инстанции, срок, установленный в части 7 статьи 31 Федерального закона от 13.07.2015 N 218-ФЗ "О государственной регистрации недвижимости" для прекращения государственной регистрации прав не является пресекательным (преклюзивным). Довод апеллянта, о том, что если оно не прекратило государственную регистрацию на следующий день после поступления заявления о прекращения государственной регистрации, то обязанность по прекращению регистрации у регистрирующего органа отсутствует вовсе, является ошибочным. Регистрирующий орган имел возможность и должен был прекратить государственную регистрацию прав, после того как были устранены причины, препятствующие по мнению регистрирующего органа прекращению государственной регистрации прав. Апелляционным судом установлено, что заявление о прекращении регистрации подано заявителем значительно ранее принятого Управлением решения об отказе, в связи с чем, довод о невозможности осуществить действия по возврату документов в суточный срок является неправомерным и неотносимым. Следует отметить, что при прекращении регистрации прав на основании соответствующих заявлений сторон договора возвращается половина суммы, уплаченной в виде государственной пошлины за государственную регистрацию прав. В случае отказа в регистрации прав госпошлина, уплаченная за регистрацию прав, возврату не подлежит (часть 4 статьи 333.40 Налогового кодекса РФ (часть вторая). Общество было намерено прекратить государственную регистрацию, чтобы реализовать свое право на возврат половины государственной пошлины, уплаченной при обращении, в соответствии с подп. 1 и 4 п. 1 статьи 333.40 НК РФ . Однако Управлением принято решения об отказе в государственной регистрации без рассмотрения направленного в регистрационное дело заявления о прекращении регистрационных действий. Таким образом, оспариваемое уведомление нарушает права общества и является незаконным. Согласно ч. 5 ст. 200 АПК РФ , 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 В соответствии с пунктом 3 части 5 статьи 201 АПК РФ в резолютивной части решения по делу об оспаривании действий (бездействия) органов, осуществляющих публичные полномочия, должностных лиц, об отказе в совершении действий, в принятии решений должно содержаться указание на признание оспариваемых действий (бездействия) незаконными и обязанность соответствующих органов, осуществляющих публичные полномочия, должностных лиц совершить определенные действия,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части. При таких обстоятельствах, принимая во внимание нарушение прав Общества, заявленные им требования правомерно подлежали удовлетворению судом первой инстанции. Принятое арбитражным судом первой инстанции решение является законным и обоснованным, судом полно и всесторонне исследованы имеющиеся в материалах дела доказательства, им дана правильная оценка, нарушений норм материального и процессуального права не допущено. Основания для отмены решения суда первой инстанции, предусмотренные АПК РФ, не установлены На основании изложенного и руководствуясь статьями 269 - 271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