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«Экстра-2024» в пользу ООО «Кристал шип» задолженность в размере 3 230 253 руб. 69 коп., государственную пошлину в размере 121 908 руб. 00 коп.3. В соответствии с частью 1 статьи 259 Арбитражного процессуального кодекса Российской Федерации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решения. Судья И.Г. Демина Суд: АС Московской области (подробнее) Истцы: ООО КРИСТАЛ ШИП (подробнее) Ответчики: ООО ЭКСТРА-2024 (подробнее) Судьи дела: Демина И.Г.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