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договор работ на разработку веб-сайта от 03.05.2023 № 17/23.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ФИО1, г. Москва, в пользу общества с ограниченной ответственностью «Триал», Владимирская область, г. ФИО2, 800 000 руб. убытков, 19 000 руб. в счет возмещения расходов по уплате государственной пошлины. Исполнительный лист выдать в порядке и сроки, предусмотренные статьей 319 Арбитражного процессуального кодекса Российской Федерации. Решение может быть обжаловано в Первый арбитражный апелляционный суд, г. Владимир, через Арбитражный суд Владимирской области в течение месяца с момента принятия решения. В таком же порядке решение может быть обжаловано в Арбитражный суд Волго-Вятского округа, г. Нижний Новгород, в срок, не превышающий двух месяцев со дня вступления в законную силу обжалуемого судебного акта,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О.Г. Тихонравова Суд: АС Владимирской области (подробнее) Истцы: ООО "ТРИАЛ" (подробнее) Судьи дела: Тихонравова О.Г.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