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437 от 20 октября 2008 года (Вельское лесничество), 2. № 1913 от 27 января 2016 года (Вельское лесничество), 3. № 2567 от 17 августа 2020 года (Вельское лесничество), 4. № 2637 от 15 марта 2021 года (Вельское лесничество), 5. № 2399 от 22 ноября 2019 года (Вельское лесничество), 6. № 2104 от 07 ноября 2017 года (Березниковское лесничество), 7. № 2045 от 14 декабря 2016 года (Вельское лесничество), 8. № 1399 от 28 августа 2012 года (Вельское лесничество), 9. № 1953 от 16 мая 2016 года (Приозерное лесничество), 10. № 1952 от 12 мая 2016 года (Обозерское лесничество), 11. № 1983 от 24 августа 2016 года (Приозерное лесничество), 12. № 1278 от 12 марта 2012 года (Шенкурское лесничество), 13. № 418 от 15 августа 2008 года (Шенкурское лесничество), 14. № 1903 от 20 октября 2015 года (Шенкурское лесничество), 15. № 2007 от 12 октября 2016 года (Плесецкое) лесничество). Ссылаясь на то, что согласие арендодателя на передачу права аренды в залог обществом не запрашивалось, министерством не выдавалось, Министерство обратилось в суд с иском о признании договора ипотеки № 0ВМ28Z013, № 0ВМ28Z014 (с дополнительными соглашениями) в части передачи в залог арендных прав на земельные (лесные) участки недействительными. Проверив обоснованность доводов истца и возражений ответчиков, оценив собранные по делу доказательства, суд считает, что исковые требования подлежат удовлетворению по следующим основаниям. В соответствии с пунктом 1 статьи 166 Гражданского кодекса Российской Федерации (далее - ГК РФ) сделка недействительна по основаниям, установленным законом, в силу признания ее таковой судом (оспоримая сделка) либо независимо от такого признания (ничтожная сделка). Согласно пункту 2 статьи 157.1 ГК РФ , если на совершение сделки в силу закона требуется согласие третьего лица, органа юридического лица или государственного органа либо органа местного самоуправления, о своем согласии или об отказе в нем третье лицо или соответствующий орган сообщает лицу, запросившему согласие, либо иному заинтересованному лицу в разумный срок после получения обращения лица, запросившего согласие. Согласие органа публично-правового образования должно быть выражено в письменной форме (в виде ненормативного правового акта, письма и т.п.) (пункт 55 постановления Пленума Верховного Суда РФ 23.06.2015 № 25 "О применении судами некоторых положений раздела I части первой Гражданского кодекса Российской Федерации". Сделка, совершенная без согласия третьего лица, органа юридического лица или государственного органа либо органа местного самоуправления, необходимость получения которого предусмотрена законом, является оспоримой, если из закона не следует, что она ничтожна или не влечет правовых последствий для лица, управомоченного давать согласие, при отсутствии такого согласия. Она может быть признана недействительной по иску такого лица или иных лиц, указанных в законе (пункт 1 статьи 173.1 ГК РФ ). Поскольку законом не установлено иное, оспоримая сделка, совершенная без необходимого в силу закона согласия третьего лица, органа юридического лица или государственного органа либо органа местного самоуправления, может быть признана недействительной, если доказано, что другая сторона сделки знала или должна была знать об отсутствии на момент совершения сделки необходимого согласия такого лица или такого органа (пункт 2 статьи 173.1 ГК РФ ). Согласно пункту 2 статьи 168 ГК РФ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В соответствии с разъяснениями, приведёнными в пунктах 74, 75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ничтожной является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Договор, условия которого противоречат существу законодательного регулирования соответствующего вида обязательства, может быть квалифицирован как ничтожный полностью или в соответствующей части, даже если в законе не содержится прямого указания на его ничтожность. Применительно к статьям 166 и 168 ГК РФ под публичными интересами, в частности, следует понимать интересы неопределенного круга лиц, обеспечение безопасности жизни и здоровья граждан, а также обороны и безопасности государства, охраны окружающей природной среды. Сделка, при совершении которой был нарушен явно выраженный запрет, установленный законом, является ничтожной как посягающая на публичные интересы, например, сделки о залоге или уступке требований, неразрывно связанных с личностью кредитора (пункт 1 статьи 336 , статьи 383 ГК РФ ), сделки о страховании противоправных интересов (статья 928 ГК РФ ). Само по себе несоответствие сделки законодательству или нарушение ею прав публично-правового образования не свидетельствует о том, что имеет место нарушение публичных интересов. Согласно части 2 статьи 3 Лесного кодекса Российской Федерации (далее – ЛК РФ) имущественные отношения, связанные с оборотом лесных участков, лесных насаждений, полученных при использовании лесов и осуществлении мероприятий по сохранению лесов древесины и иных лесных ресурсов, регулируются гражданским законодательством, а также Земельным кодексом Российской Федерации, если иное не установлено настоящим Кодексом, другими федеральными законами. Право аренды лесных участков возникает и прекращается по основаниям и в порядке, которые предусмотрены гражданским законодательством, Земельным кодексом, если иное не установлено Лесным кодексом, другими федеральными законами (часть 1 статьи 9 ЛК РФ). В соответствии с положениями Лесного кодекса РФ в редакции Федерального закона от 29 июня 2015 г. № 206-ФЗ, действовавшей на момент заключения договора аренды, к договору аренды лесного участка применяются положения об аренде, предусмотренные Гражданским кодексом Российской Федерации и Земельным кодексом Российской Федерации, если иное не установлено Лесным кодексом (часть 4 статьи 71). Закон № 206-ФЗ вступил в действие с 01.10.2015. Как пояснило Министерство, договоры аренды заключенные до указанной даты были актуализированы в соответствии с нормами действующего лесного законодательства. Указанные обстоятельства подтверждаются заключенными между Обществом и Министерством дополнительными соглашениями к договорам аренды. Правила Земельного кодекса РФ применяются к отношениям, связанным с предоставлением в аренду земельных участков в составе земель лесного фонда, если иное не установлено Лесным кодексом (пункт 3 статьи 39.1 Земельного кодекса Российской Федерации). Правовая позиция о том, что нормы лесного законодательства имеют приоритет в отношениях, связанных с оборотом лесных участков, содержится в определении Судебной коллегии по экономическим спорам Верховного Суда Российской Федерации от 23 июня 2022 г. по делу № 307-ЭС22-408. Согласно пункту 4 статьи 421 ГК РФ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Пунктом 1 статьи 422 ГК РФ предусмотрено, что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В силу части 1 статьи 71 ЛК РФ в постоянное (бессрочное) пользование, аренду, безвозмездное срочное пользование лесные участки, находящиеся в государственной или муниципальной собственности, предоставляются юридическим лицам, в аренду, безвозмездное срочное пользование - гражданам. Положениями части 1 статьи 74 ЛК РФ предусмотрено, что заключение договора аренды лесного участка, находящегося в государственной или муниципальной собственности, осуществляется по результатам аукциона по продаже права на заключение такого договора. Исключением в силу части 3 пункта 2 указанной статьи является предоставление по договору аренды без проведения аукциона лесных участков, находящихся в государственной или муниципальной собственности, в случаях реализации приоритетных инвестиционных проектов в области освоения лесов. Согласно части 6 статьи 73.1 ЛК РФ порядок подготовки договора аренды лесного участка, находящегося в государственной или муниципальной собственности, и его заключения утверждается уполномоченным Правительством Российской Федерации органом исполнительной власти. В соответствии с частью 7 статьи 73.1 ЛК РФ типовые договоры аренды лесных участков утверждаются уполномоченным федеральным органом исполнительной власти для каждого вида использования лесов, предусмотренного частью 1 статьи 25 данного Кодекса. Таким образом, Лесным кодексом установлено императивное правило о том, что для всех видов использования лесов уполномоченный орган утверждает типовой договор аренды лесных участков, условия которого регулируются нормами лесного законодательства, имеющими приоритет перед нормами Земельного кодекса (определения Судебной коллегии по экономическим спорам Верховного Суда Российской Федерации от 16 июля 2019 г. № 306-ЭС19-4748, от 23 июня 2022 г. № 307-ЭС22-408). Внесение в Лесной кодекс РФ положения о заключении договоров аренды лесных участков в соответствии с типовыми договорами, утверждаемыми уполномоченным федеральным органом исполнительной власти, направлено на установление требований к условиям договоров, обязательных для соблюдения всеми лицами (сторонами договоров), а также на ограничение условий для возникновения коррупциогенных факторов, связанных с определением фактического содержания договоров аренды лесных участков. Судом установлено, что в период заключения договора аренды № 437, № 418 действовало принятое в соответствии с частью 5 статьи 74 ЛК РФ постановление Правительства Российской Федерации от 28 мая 2007 г. № 324 "О договоре аренды лесного участка, находящегося в государственной или муниципальной собственности", которым утверждена форма примерного договора аренды лесного участка, подлежавшая применению для всех видов использования лесов. Договором было предусмотрено, что арендатор имеет право сдавать лесной участок в субаренду, передавать свои права и обязанности по договору другим лицам, отдавать право аренды в залог, вносить право аренды в качестве вклада в уставный капитал хозяйственных товариществ и обществ или паевого взноса в производственный кооператив только с согласия арендодателя. В последующем данный договор был приведен в соответствии с требованиями, предъявляемыми к условиям Типового договора, утвержденного приказом Министерства природных ресурсов и экологии Российской Федерации от 30 сентября 2020 г. № 542, что подтверждается материалами дела. Правительство Российской Федерации постановлением от 21 сентября 2015 г. № 1003 "О типовом договоре аренды лесного участка" (далее - Типовой договор 2015 г.) утвердило типовой договор аренды лесного участка, который подлежал применению для всех видов использования лесов, предусмотренных часть 1 статьи 25 Лесного кодекса (пункт 2 данного постановления), в том числе при заключении спорного договора аренды. Согласно подпункту "у" пункта 12 Типового договора 2015 г. арендатор обязан согласовать с арендодателем в письменной форме совершение действий, предусмотренных статьей 5 Федерального закона № 201-ФЗ, в том числе по передаче прав и обязанностей по договору аренды участка лесного фонда, по договору аренды лесного участка другим лицам. Законность указанных условий Типового договора и обоснованность их применения проверена и подтверждена Административной коллегий Верховного Суда Российской Федерации в определении от 15 июня 2017 г. № 2-АПГ17-7. Административная коллегия Верховного Суда Российской Федерации в определении от 15 июня 2017 г. № 2-АПГ17-7 указала, что приведенные условия Типового договора имеют целевую направленность, регулируют отношения, связанные с получением согласия на сделки с арендованными лесными участками, поэтому применению подлежат положения статей 71 - 74 Лесного кодекса, устанавливающие особенности предоставления в аренду лесных участков. В соответствии со статьей 5 Федерального закона «О введении в действие лесного кодекса Российской Федерации» от 04.12.2006 № 201-ФЗ арендатор по договору аренды участка лесного фонда до приведения его в соответствие с Лесным кодексом, а также арендатор по договору аренды участка лесного фонда или по договору аренды лесного участка, если государственный кадастровый учет таких участков не осуществлялся, не вправе: 1) сдавать арендованные участок лесного фонда, лесной участок в субаренду; 2) передавать свои права и обязанности по договору аренды участка лесного фонда, по договору аренды лесного участка другим лицам (перенаем); 3) отдавать арендные права в залог; 4) вносить арендные права в качестве вклада в уставный капитал хозяйственных товариществ и обществ или паевого взноса в производственный кооператив. В соответствии с позицией, изложенной в определении Судебной коллегии по экономическим спорам Верховного Суда Российской Федерации от 3 июня 2025 г. № 304-ЭС24-3145 в Типовом договоре речь идет именно о действиях, перечисленных в статье 5 Закона № 201-ФЗ, для совершения которых арендатор обязан получить согласие арендодателя, а не о характеристиках лесного участка. Следовательно, положения статьи 5 Федерального закона от 04.12.2006 № 201-ФЗ распространяются на отношения сторон при аренде лесных участков, прошедших государственный кадастровый учет. Право арендатора передавать свои права и обязанности по договору аренды лесных участков в залог только с согласия арендодателя было закреплено во всех последовательно утверждаемых уполномоченным органом типовых формах договоров аренды лесного участка. Так подпунктом "т" пункта 3.4 типового договора аренды лесного участка, утвержденного Приказом Минприроды России от 20.12.2017 № 693 на арендатора возложена обязанность согласовать с Арендодателем в письменной форме совершение действий, предусмотренных статьей 5 Федерального закона от 04.12.2006 № 201-ФЗ "О введении в действие Лесного кодекса Российской Федерации". Требование о необходимости получения согласия арендодателя на передачу арендных прав в залог по договору аренды лесного участка содержится и в действующей редакции Типовых договоров, утвержденных приказом Министерства природных ресурсов и экологии Российской Федерации от 30 сентября 2020 г. № 542 (подпункты «т» или «о» пункта 3.4 типового договора). Согласно пункту 2 статьи 615 ГК РФ арендатор вправе с согласия арендодателя сдавать арендованное имущество в субаренду (поднаем) и передавать свои права и обязанности по договору аренды другому лицу (перенаем), предоставлять арендованное имущество в безвозмездное пользование, а также отдавать арендные права в залог и вносить их в качестве вклада в уставный капитал хозяйственных товариществ и обществ или паевого взноса в производственный кооператив, если иное не установлено данным Кодексом, другим законом или иными правовыми актами. Таким образом, положениями Лесного кодекса РФ и условиями Типового договора прямо урегулирован вопрос о передаче права аренды лесного участка в залог по договору, заключенному в том числе без торгов, исключительно с согласия арендодателя. Кроме того, в определении Судебной коллегии по гражданским делам Верховного Суда РФ от 16.11.2021 по делу № 18-КГ21-123-К4 применительно к договорам аренды лесного участка, заключенным до вступления в силу Закона № 206-ФЗ (до 01.10.2015) указано, что Лесным кодексом Российской Федерации не были предусмотрены иные, чем в пункте 2 статьи 615 Гражданского кодекса Российской Федерации, условия передачи арендатором лесного участка своих прав и обязанностей по договору аренды. Федеральное агентство лесного хозяйства (далее - Рослесхоз) в письме от 21 апреля 2009 г. № МГ-03-54/2471 "О выдаче согласия на сделки с арендованными лесными участками или арендными правами" разъяснило, что выдача согласий на сделки с арендованными лесными участками или арендными правами отнесена к компетенции органов государственной власти субъектов Российской Федерации, уполномоченных в области лесных отношений (за исключением случаев, установленных в части 2 статьи 83 Лесного кодекса). В данном письме Рослесхоз в целях повышения эффективности управления лесами, защиты прав лесопользователей, охраны окружающей среды и соблюдения требований антикоррупционного законодательства дал рекомендации указанным органам государственной власти о том, какие обстоятельства следует учитывать при рассмотрении обращений о выдаче такого согласия, в том числе привел основания, по которым в выдаче согласия может быть отказано. Между тем, как установлено судом ООО «Группа компаний УЛК» к Министерству за получением согласия на передачу арендных прав не обращалось, соответствующее согласие на передачу арендных прав в залог Министерство не давало. Кроме того, договоры ипотеки были подписан Обществом и Банком 17.11.2024, уведомления о передаче арендных прав в залог поступило в Министерство 04 и 6 декабря 2013 года, после заключения договора ипотеки. Доводы банка об истечении срока исковой давности отклоняются судом с учетом следующего. Пунктом 2 статьи 199 ГК РФ предусмотрено, что исковая давность применяется судом только по заявлению стороны в споре, сделанном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Согласно пункту 1 статьи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Указывая на пропуск Министерством срока исковой давности, Банк ссылается на то, что договор ипотеки является оспоримой сделкой. Пунктом 3 статьи 56 Федерального закона от 16.07.1998 № 102-ФЗ "Об ипотеке (залоге недвижимости)" предусмотрено, что в случае обращения взыскания на заложенное право аренды недвижимого имущества, оно реализуется в соответствии с правилами настоящего Федерального закона с последующим оформлением уступки данного права. Следовательно, обращение взыскания на заложенное право аренды лесного участка предусматривает одновременную передачу всех прав и обязанностей по договору аренды победителю торгов и к такой сделке применяются правила об уступке требования. В соответствии со статьей 392.3 ГК РФ в случае одновременной передачи стороной всех прав и обязанностей по договору другому лицу (передача договора) к сделке по передаче соответственно применяются правила об уступке требования и о переводе долга. Перевод должником своего долга на другое лицо допускается с согласия кредитора и при отсутствии такого согласия является ничтожным (пункт 2 статьи 391 ГК РФ ). В пункте 73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в силу прямого указания закона к ничтожным сделкам, в частности, относится соглашение о переводе должником своего долга на другое лицо при отсутствии согласия кредитора (пункт 2 статьи 391 Гражданского кодекса Российской Федерации). В пункте 16 Обзора судебной практики Верховного Суда Российской Федерации № 4 (2020), утвержденного Президиумом Верховного Суда Российской Федерации 23.12.2020, указано, что соглашение о передаче арендатором прав и обязанностей по договору аренды лесного участка при отсутствии согласия арендодателя, если договор аренды был заключен до вступления в силу положений законодательства, допускающих такую передачу, является ничтожным. Как отмечено Конституционным Судом Российской Федерации, лесной фонд ввиду его жизненно важной многофункциональной роли и значимости для общества в целом представляет собой публичное достояние многонационального народа России, и как таковой является федеральной собственностью особого рода и имеет специальный правовой режим (постановления Конституционного Суда Российской Федерации от 09.01.1998 № 1-П, от 07.06.2000 № 10-П; определения Конституционного Суда Российской Федерации от 27.06.2000 № 92-О, от 03.02.2010 № 238-О-О). Правовое регулирование отношений, связанных с использованием лесных ресурсов, основывается на принципе приоритета публичных интересов и предполагает, в частности, обеспечение сохранности лесного фонда, его рациональное использование и эффективное воспроизводство, ответственность субъектов хозяйственной деятельности, связанной с использованием лесов, за соблюдение установленного лесным законодательством правопорядка и их публичные обязательства по восполнению части лесного фонда, утраченной в результате хозяйственной деятельности (определение Конституционного Суда Российской Федерации от 20.07.2021 № 1523-О). В рассматриваемом деле договоры аренды лесных участков заключены в целях реализации приоритетного инвестиционного проекта в области освоения лесов, переуступка права аренды, по которым нормами действующего законодательства не предусмотрена, поскольку заготовка древесины носит строго целевой характер и право заготовки древесины имеется только у инвестора во исполнение инвестиционного проекта. В то же время как указал представитель Банка в судебном заседании Министерство не вправе отказаться от заключения договора уступки прав и обязанностей с победителем торгов при обращении взыскания на заложенные арендные права. С учетом изложенных обстоятельств суд приходит к выводу о том, что передача в залог права аренды лесного участка, при отсутствии письменного согласия уполномоченного органа, полученного в установленном лесным законодательством порядке, является ничтожной сделкой. Поскольку Министерство узнало о передаче арендных прав в залог 04.12.2023, при этом обратилось в суд с иском 29.05.2025, срок исковой давности Министерством не пропущен. Доводы Банка об отсутствии нарушений прав Министерства передачей арендных прав в залог, о необходимости применения принципа эстоппель и о недобросовестном поведении Министерства также подлежат отклонению. Учитывая принцип целевого использования лесов (статья 1 ЛК РФ), принимая во внимание недопустимость совершения действий в обход закона, а также особую важность лесного фонда, использование которого должно осуществляться подконтрольно. Субъектом материально-правовых отношений, связанных с предоставлением в аренду лесных участков публичной собственности, является само публично-правовое образование - Российская Федерация, субъекты Российской Федерации от имени и в интересах которых действуют специально уполномоченные органы государственной власти (пункт 1 статьи 124 ГК РФ ). Министерство, действуя от имени и в интересах Архангельской области в гражданских правоотношениях, не обязано давать согласие на совершение сделки (абзац первый пункта 54 постановления № 25). Поскольку при заключении договора ипотеки стороны в установленном лесным законодательством порядке не получили согласие арендодателя за передачу арендных прав в залог, это очевидно свидетельствует о нарушении его прав и не требует специального доказывания. По общему правилу пункта 5 статьи 10 Гражданского кодекса добросовестность участников гражданских правоотношений и разумность их действий предполагаются, пока не доказано иное. Принцип эстоппель вытекает из общих начал гражданского законодательства и является частным случаем проявления принципа добросовестности, установленного пунктами 3 и 4 статьи 1 Гражданского кодекса. В общем виде эстоппель (estoppel) можно определить как правовой механизм, направленный на обеспечение последовательного поведения участников правоотношений. При этом при применении эстоппеля важно учитывать, что само по себе противоречивое поведение стороны не является упречным (противоправным или недобросовестным). Недобросовестным признается только такое противоречивое поведение стороны, которое подрывает разумное доверие другой стороны и влечет явную несправедливость. Главная задача принципа эстоппель заключается в том, чтобы воспрепятствовать стороне получить преимущества и выгоду, как следствие своей непоследовательности в поведении в ущерб другой стороне, которая добросовестным образом положилась на определенную юридическую ситуацию, созданную первой стороной. Поскольку эстоппель является частным проявлением принципа добросовестности, то для целей его применения требуется оценка добросовестности каждой из сторон. Недобросовестным является поведение одной из сторон, противоречащее ее предшествующим действиям и заявлениям, на которые разумно положилась другая сторона и вследствие противоречивого поведения понесла ущерб. В частности, недобросовестным является непоследовательное поведение лица в ситуации, когда оно, обладая каким-либо субъективным правом, своими предшествующими действиями создает для другой стороны разумное ожидание, что оно этим субъективным правом воспользоваться не планирует, а впоследствии совершает действия по осуществлению этого права, вопреки предшествующему поведению. Однако при применении эстоппеля подлежит оценке и добросовестность стороны, положившейся на действия другой стороны. Эстоппель должен защищать только добросовестное лицо, то есть лицо, доверие которого к поведению другой стороны было разумным и обоснованным, и призван содействовать обеспечению юридической безопасности субъектов права, направлен на защиту добросовестной стороны. Сторона, заявляющая о применении эстоппеля, должна разумно и добросовестно полагаться на поведение другой стороны. Согласно правовому подходу, изложенному в определении Верховного Суда Российской Федерации от 08.10.2024 № 300-ЭС24-6956 для применения эстоппеля в процессе необходимо установить не только факт противоречивого поведения одной из сторон спора, но также оценить, в какой степени поведение этой стороны могло создать доверие для другой, на которое она обоснованно положилась и вследствие этого действовала (могла действовать) в ущерб себе. Обязательность получения согласия на передачу арендных прав в залог указана в договорах аренды, с которыми оба ответчика ознакомлены, но получение которого в нарушение пункта 2 статьи 157.1 Гражданского кодекса РФ проигнорировали. На момент заключения договора ипотеки Банк знал (должен был знать) что Общества за согласием на совершение сделки не обращалось. Представитель Общества в судебном заседании подтвердила, что Банку было известно об отсутствии согласия Министерства на передачу прав аренды при заключении договора ипотеки. Банк как профессиональная сторона сделки должен был проявить должную осмотрительность и оценить риски при заключении договора ипотеки. То обстоятельство, что Министерство ранее не оспаривало заключаемые Обществом и иными банками договоры ипотеки не свидетельствует о недобросовестном или противоречивом поведении Министерства. Как установлено судом, ранее Министерство никогда не выдавало ООО «Группа компаний «УЛК» согласия на передачу прав аренды в залог за весь период действия договоров аренды лесных участков. Учитывая изложенное, оценив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суд приходит к выводу, что исковые требования Министерства о признании части недействительным договоров ипотеки № 0ВМ28Z013, № 0ВМ28Z014 (с дополнительными соглашениями), в части передачи в залог арендных прав на земельные (лесные) участки по договорам аренды № 437 от 20.10.2008, № 2045 от 14.12.2016, № 1913 от 27.01.2016, № 2637 от 15.12.2021, № 1399 от 28.08.2012, № 2399 от 22.11.2019, № 2567 от 17.08.2020, № 2104 от 07.11.2017, № 1953 от 16.05.2016, № 1952 от 12.05.2016, № 1983 от 24.08.2016, № 1490 от 05.02.2013, № 2007 от 12.10.2016, № 1278 от 12.03.2012, № 2745 от 19.11.2021, № 1903 от 20.10.2015, № 418 от 15.08.2008 подлежат удовлетворению. В качестве применения последствий недействительности сделки Министерством заявлено требование о погашении регистрационных записей об ипотеке в Едином государственном реестре недвижимости. В силу пункта 2 статьи 167 Гражданского кодекса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Отношения, возникающие в связи с осуществлением на территории Российской Федерации государственной регистрации прав на недвижимое имущество и сделок с ним, подлежащих в соответствии с законодательством Российской Федерации государственной регистрации, государственного кадастрового учета недвижимого имущества, подлежащего такому учету, а также ведением Единого государственного реестра недвижимости (далее - ЕГРН) и предоставлением предусмотренных настоящим Федеральным законом сведений, содержащихся в ЕГРН, регулируются Федеральным законом от 13.07.2015 № 218-ФЗ "О государственной регистрации недвижимости" (далее - Федеральный закон № 218-ФЗ). Согласно пункту 1 статьи 131 ГК РФ , право собственности и другие вещные права на недвижимые вещи, подлежат государственной регистрации в Едином государственном реестре недвижимости органами, осуществляющими государственную регистрацию прав на недвижимость и сделок с ней. Согласно части 4 статьи 1 Федерального закона № 218-ФЗ, государственная регистрация прав осуществляется посредством внесения в ЕГРН записи о праве на недвижимое имущество, сведения о котором внесены ЕГРН. В силу статьи 27 Закона № 218-ФЗ, регистрационная запись об ипотеке погашается также по решению суда или арбитражного суда о прекращении ипотеки в порядке, предусмотренном настоящей статьей. В силу пункта 1 статьи 341 ГК РФ права залогодержателя в отношениях с залогодателем возникают с момента заключения договора залога, если иное не установлено договором, настоящим Кодексом и другими законами. Согласно пункту 1 статьи 339.1 ГК РФ залог подлежит государственной регистрации и возникает с момента такой регистрации в случае, если в соответствии с законом права, закрепляющие принадлежность имущества определенному лицу, подлежат государственной регистрации (статья 8.1). В соответствии с пунктами 1 и 5 статьи 5 Федерального закона от 16.07.1998 № 102-ФЗ "Об ипотеке (залоге недвижимости)" по договору об ипотеке может быть заложено недвижимое имущество, указанное в пункте 1 статьи 130 ГК РФ , права на которое зарегистрированы в порядке, установленном для государственной регистрации прав на недвижимое имущество и сделок с ним. Правила об ипотеке недвижимого имущества соответственно применяются к залогу прав арендатора по договору об аренде такого имущества (право аренды), поскольку иное не установлено федеральным законом и не противоречит существу арендных отношений. Последствиями заключения оспариваемого договора об ипотеки явилось, в том числе внесение в Единый государственный реестр недвижимости записей об обременении лесных участков, переданных Обществом по договорам аренды № 437 от 20.10.2008, № 2045 от 14.12.2016, № 1913 от 27.01.2016, № 2637 от 15.12.2021, № 1399 от 28.08.2012, № 2399 от 22.11.2019, № 2567 от 17.08.2020, № 2104 от 07.11.2017, № 1953 от 16.05.2016, № 1952 от 12.05.2016, № 1983 от 24.08.2016, № 1490 от 05.02.2013, № 2007 от 12.10.2016, № 1278 от 12.03.2012, № 2745 от 19.11.2021, № 1903 от 20.10.2015, № 418 от 15.08.2008, ипотекой в пользу Банка. В силу положений статьи 167 ГК РФ смысл реституции состоит в возврате сторон в первоначальное положение, восстановлении положения, существовавшего до нарушения права, и пресечении действий, нарушающих право или создающих угрозу его нарушения, следовательно, признание сделок недействительными и применение судом последствий их недействительности является основанием для погашения регистрирующим органом записи в реестре об обременения в виде ипотеки. Поскольку договоры ипотеки № 0ВМ28Z013, № 0ВМ28Z014 (с дополнительными соглашениями), заключенные между Обществом и Банков признаны недействительными в части передачи в залог арендных прав на земельные (лесные) участки, переданные Министерством Обществу по договорам аренды № 437 от 20.10.2008, № 2045 от 14.12.2016, № 1913 от 27.01.2016, № 2637 от 15.12.2021, № 1399 от 28.08.2012, № 2399 от 22.11.2019, № 2567 от 17.08.2020, № 2104 от 07.11.2017, № 1953 от 16.05.2016, № 1952 от 12.05.2016, № 1983 от 24.08.2016, № 1490 от 05.02.2013, № 2007 от 12.10.2016, № 1278 от 12.03.2012, № 2745 от 19.11.2021, № 1903 от 20.10.2015, № 418 от 15.08.2008, предмет залога отсутствует, следовательно, требование о применении последствий недействительности в виде погашение регистрационных записей об ипотеке в Едином государственном реестре недвижимости подлежит удовлетворению. Как указано в части 3 статьи 110 АПК РФ , государственная пошлина, от уплаты которой в установленном порядке истец был освобождён, взыскивается с ответчика в доход федерального бюджета пропорционально размеру удовлетворённых исковых требований, если ответчик не освобождён от уплаты государственной пошлины. В соответствии с подпунктом 2 пункта 1 статьи 333.21 Налогового кодекса Российской Федерации (далее - НК РФ) при подаче искового заявления по спорам, возникающим при заключении, изменении или расторжении договоров, не содержащего требования о возврате исполненного по сделке или о присуждении имущества, а также искового заявления по спорам о признании сделок недействительными, не содержащего требования о применении последствий недействительности сделок, размер государственной пошлины для организаций составляет 50 000 руб. В рассматриваемой ситуации требование истца о применении последствий недействительности сделки не подлежит имущественной оценке, в связи с чем размер государственной пошлины по иску составит 100 000 руб. (поскольку истцом объединено два требования неимущественного характера, истец просит признать недействительными два самостоятельных договора ипотеки оплате государственной пошлиной по смыслу пункта 1 части 1 статьи 333.22 НК РФ подлежит), указанная сумма подлежит взысканию с ответчиков в доход федерального бюджета в равных долях. Руководствуясь статьями 106 , 110 , 167 - 170 Арбитражного процессуального кодекса Российской Федерации, Арбитражный суд Архангельской области РЕШИЛ: Признать недействительными договоры ипотеки № 0ВМ28Z013, № 0ВМ28Z014 (с дополнительными соглашениями), заключенные между обществом с ограниченной ответственностью «Группа компаний «УЛК» и акционерным обществом «Альфа-Банк» в части передачи в залог арендных прав на земельные (лесные) участки, переданные министерством природных ресурсов и лесопромышленного комплекса Архангельской области обществу с ограниченной ответственностью «Группа компаний «УЛК» по договорам аренды № 437 от 20.10.2008, № 2045 от 14.12.2016, № 1913 от 27.01.2016, № 2637 от 15.12.2021, № 1399 от 28.08.2012, № 2399 от 22.11.2019, № 2567 от 17.08.2020, № 2104 от 07.11.2017, № 1953 от 16.05.2016, № 1952 от 12.05.2016, № 1983 от 24.08.2016, № 1490 от 05.02.2013, № 2007 от 12.10.2016, № 1278 от 12.03.2012, № 2745 от 19.11.2021, № 1903 от 20.10.2015, № 418 от 15.08.2008. Применить последствия недействительности сделки в виде погашения регистрационных записей в ЕГРН об ипотеке на земельные (лесные) участки со следующими кадастровыми номерами: 29:01:010101:4, 29:01:010102:6, 29:01:010102:5, 29:01:010201:2, 29:01:010202:54, 29:01:010301:10, 29:01:010301:11, 29:01:010301:12, 29:01:010302:12, 29:01:010302:11, 29:01:020101:26, 29:01:030101:13, 29:01:030101:14, 29:01:020501:26, 29:01:030101:12, 29:01:030101:16, 29:01:030101:15, 29:01:160101:14, 29:01:160101:12, 29:01:160101:13, 29:01:160101:15, 29:01:160102:105, 29:01:160102:106, 29:01:200501:129, 29:01:200501:130, 29:01:200601:154, 29:01:200601:155, 29:01:220601:8, 29:01:000000:218, 29:01:180316:316, 29:01:000000:4163, 29:01:000000:4181, 29:01:140101:112, 29:01:000000:4165, 29:01:000000:4176, 29:01:000000:4162, 29:01:000000:4167, 29:01:000000:4175, 29:01:000000:4168, 29:01:000000:4171, 29:01:000000:4179, 29:01:000000:4180, 29:01:000000:4169, 29:01:0000000:4219, 29:01:220204:26, 29:01:220204:25, 29:01:220205:13, 29:01:220205:4, 29:01:000000:4177, 29:01:000000:4170, 29:01:000000:4178, 29:01:000000:4174, 29:01:000000:4183, 29:01:000000:4221, 29:01:000000:4184, 29:01:000000:4182, 29:01:180101:156, 29:01:130103:36, 29:01:020201:69, 29:01:020201:70, 29:01:020201:71, 29:01:020201:72, 29:01:020201:73, 29:01:020201:74, 29:01:020201:75, 29:01:020201:76, 29:01:020201:77, 29:01:020201:78, 29:01:020201:79, 29:01:020201:80, 29:01:020201:81, 29:01:020201:82, 29:01:020201:83, 29:01:020201:84, 29:01:020201:85, 29:01:020201:86, 29:01:000000:4225, 29:01:160401:9, 29:01:160401:8, 29:01:160501:7, 29:01:160501:6, 29:01:000000:5981, 29:01:000000:6118, 29:01:000000:6114, 29:01:000000:6089, 29:00:000000:106643, 29:01:000000:6090, 29:01:000000:6092, 29:01:000000:6115, 29:01:000000:6117, 29:01:000000:6091, 29:01:000000:6116, 29:01:000000:6096, 29:01:000000:6119, 29:01:090201:10, 29:01:000000:5956, 29:01:000000:162, 29:04:100602:21, 29:04:100603:299, 29:04:100603:300, 29:04:100601:17, 29:04:100603:298, 29:04:000000:227, 29:04:100603:202, 29:04:100601:16, 29:04:000000:224, 29:04:100603:301, 29:04:100603:297, 29:04:100601:22, 29:04:100603:187, 29:04:100603:186, 29:04:100603:295, 29:04:100603:185, 29:15:090401:8, 29:15:090401:9, 29:15:090101:22, 29:15:090201:26, 29:15:090201:27, 29:15:090201:28, 29:15:090401:10, 29:15:090401:11, 29:15:090401:63, 29:15:090501:73, 29:15:090601:33, 29:15:090701:30, 29:15:100101:17, 29:15:100101:18, 29:15:100101:19, 29:15:170101:40, 29:15:170101:41, 29:15:171901:15, 29:15:171901:16, 29:15:171901:17, 29:15:171901:18, 29:15:171901:19, 29:15:171901:20, 29:15:171901:21, 29:15:171901:22, 29:15:190101:40, 29:15:190101:61, 29:15:190101:81, 29:15:190101:82, 29:15:190101:83, 29:15:190101:84, 29:15:190101:85, 29:15:000000:105, 29:15:090101:128, 29:15:090101:129, 29:15:090101:130, 29:15:090101:131, 29:15:090101:132, 29:15:090101:133, 29:15:090101:367, 29:15:090201:118, 29:15:090201:119, 29:15:190101:267, 29:15:190101:268, 29:15:190101:269, 29:15:190101:345, 29:15:000000:4371, 29:15:000000:4373, 29:15:080501:3, 29:15:000000:4305, 29:15:000000:4304, 29:15:010301:229, 29:15:000000:110, 29:15:162001:10, 29:15:162001:11, 29:15:171901:11, 29:15:162001:20, 29:15:162001:9, 29:15:162001:12, 29:15:171901:10, 29:15:162001:8, 29:20:020101:11, 29:20:000000:130, 29:20:100801:25, 29:20:100801:26, 29:20:100801:27, 29:20:100801:28, 29:20:100801:29, 29:20:100801:30, 29:20:100801:31, 29:20:092801:34, 29:20:092801:35, 29:20:092801:36, 29:20:092801:37, 29:20:092801:38, 29:20:092701:4, 29:20:092801:39, 29:20:092801:44, 29:20:092701:5, 29:20:092901:8, 29:20:092901:10, 29:20:092901:11, 29:20:092801:40, 29:20:092801:41, 29:20:092801:42, 29:20:092801:43, 29:20:100801:32, 29:20:100801:33, 29:20:100801:34, 29:20:100801:35, 29:20:100801:36, 29:20:000000:140, 29:20:000000:141, 29:20:060901:21, 29:20:060801:20, 29:20:060901:20, 29:20:000000:1426, 29:20:000000:1052, 29:20:000000:1051, 29:20:000000:1415, 29:20:071801:6, 29:20:071801:5, 29:20:000000:148, 29:20:071701:134, 29:20:000000:1063, 29:20:000000:1065, 29:20:000000:1423, 29:20:000000:1416, 29:20:000000:1417, 29:20:000000:1419, 29:20:000000:1421, 29:20:112701:118, 29:20:000000:1056, 29:20:000000:1418, 29:20:000000:1430, 29:20:000000:1431. Взыскать с общества с ограниченной ответственностью «Группа компаний «УЛК» (ОГРН &lt;***&gt;, ИНН &lt;***&gt;) в доход федерального бюджета 50 000 руб. государственной пошлины. Взыскать с акционерного общества "Альфа-Банк" (ОГРН &lt;***&gt;, ИНН &lt;***&gt;) в доход федерального бюджета 50 000 руб. государственной пошлины. Настоящее решение может быть обжаловано в Четырнадцатый арбитражный апелляционный суд путем подачи апелляционной жалобы через Арбитражный суд Архангельской области в срок, не превышающий одного месяца со дня его принятия. Судья О.А. Суханова Суд: АС Архангельской области (подробнее) Истцы: Министерство природных ресурсов и лесопромышленного комплекса Архангельской области (подробнее) Ответчики: АО "АЛЬФА-БАНК" (подробнее) ООО "Группа компаний "УЛК" (подробнее) Судьи дела: Суханова О.А. (судья) (подробнее) Последние документы по делу: Решение от 24 октября 2025 г. по делу № А05-6335/2025 Резолютивная часть решения от 14 октября 2025 г. по делу № А05-6335/2025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