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ООО «КПР» в пользу ООО «Дмитровский завод РТИ» задолженность в размере 1 374 134 руб. 95 коп., неустойку за период с 16.04.2024г. по 20.05.2025г. в размере 549 645 руб. 30 коп., расходы по оплате государственной пошлины в размере 82 713 руб. 00 коп.3. В соответствии с частью 1 статьи 259 Арбитражного процессуального кодекса Российской Федерации решение может быть обжаловано в Десятый арбитражный апелляционный суд в течение месяца после принятия арбитражным судом первой инстанции обжалуемого решения. Судья И.Г. Демина Суд: АС Московской области (подробнее) Истцы: ООО Дмитровский завод РТИ (подробнее) Ответчики: ООО КОНТИНЕНТ ПРОИЗВОДСТВЕННЫЕ РЕШЕНИЯ (подробнее) Судьи дела: Демина И.Г.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