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СК «РАСТР» в пользу ИП ФИО1 задолженность в размере 4 218 480 руб. 00 коп., неустойку за период с 15.08.2023г. по 25.03.2025г. в размере 248 890 руб. 32 коп. с дальнейшим начислением на сумму основного долга, исходя из 0,01% за каждый день просрочки до даты фактического исполнения обязательств, расходы по оплате услуг представителя в размере 50 000 руб. 00 коп., расходы по оплате государственной пошлины в размере 159 021 руб. 00 коп.3. В остальной части заявленные исковые требования оставить без удовлетворения.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1 статьи 259 Арбитражного процессуального кодекса Российской Федерации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решения. Судья И.Г. Демина Суд: АС Московской области (подробнее) Ответчики: ООО СТРОИТЕЛЬНАЯ КОМПАНИЯ "РАМЕНСКИЙ СТРОИТЕЛЬ" (подробнее) Судьи дела: Демина И.Г. (судья) (подробнее) Судебная практика по: По договору подряда Судебная практика по применению норм ст. 702, 703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