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общества с ограниченной ответственностью «Ивановоэнергосбыт»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бездействие старшего судебного пристава-исполнителя Фрунзенского РОСП г. Иваново УФССП России по Ивановской области ФИО1, выразившееся в не обращении взыскания на имущественные права должника ООО «СпортСтрой». Обязать старшего судебного пристава-исполнителя Фрунзенского РОСП г. Иваново УФССП России по Ивановской области ФИО1 обеспечить принятие мер по обращению взыскания на имущественные права должника ООО «СпортСтрой». В остальной части требования общества с ограниченной ответственностью «Ивановоэнергосбыт» оставить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«Ивановоэнергосбыт» из федерального бюджета 50 000 руб. излишне уплаченной государственной пошлины (платежное поручение № 201 от 24.01.2025, плательщик ООО «Ивановоэнергосбыт»).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(610007, &lt;...&gt;) в течение месяца со дня его принятия в соответствии со статьями 181 , 201 , 257 , 259 Арбитражного процессуального кодекса Российской Федерации. Решение может быть обжаловано в Арбитражный суд Волго-Вятского округа (603000, &lt;...&gt;) в срок, не превышающий двух месяцев со дня его вступления в законную силу в соответствии со статьями 181 , 201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сроки, предусмотренные статьями 291.1 - 291.15 Арбитражного процессуального кодекса Российской Федерации. Кассационная жалоба в этом случае подается непосредственно в Верховный Суд Российской Федерации. Судья Скобелева Е.Г. Суд: АС Ивановской области (подробнее) Истцы: ООО "Ивановоэнергосбыт" (подробнее) Ответчики: Старший судебный пристав-исполнитель Фрунзенского РОСП УФССП по Ивановской области Сухореброва Т.В. (подробнее) Судебный пристав-исполнитель Фрунзенского РОСП УФССП по Ивановской области Чеснокова Наталья Сергеевна (подробнее) УФССП России по Ивановской области (подробнее) Иные лица: ООО "СпортСтрой" (подробнее) Судьи дела: Скобелева Е.Г. (судья) (подробнее) Последние документы по делу: Решение от 8 ноября 2025 г. по делу № А17-492/2025 Резолютивная часть решения от 26 октября 2025 г. по делу № А17-492/2025 Показать все документы по этому делу Судебная практика по: Приговор, неисполнение приговора Судебная практика по применению нормы ст. 315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