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акционерного общества "Владимирская газовая компания" в пользу общества с ограниченной ответственностью "Энергосбыт Волга" задолженность в сумме 1 736 647 руб. 88 коп., пени в сумме 27 458 руб. 14 коп., пени, начисленные с 01.05.2025 по день фактической уплаты задолженности, расходы по уплате государственной пошлины в размере 23 376 руб. 90 коп.2. Возвратить обществу с ограниченной ответственностью "Энергосбыт Волга" из федерального бюджета государственную пошлину в размере 54 771 руб. 10 коп., уплаченную по платежному поручению от 01.07.2025 № 10219. Основанием для возврата государственной пошлины является настоящее решение. Решение может быть обжаловано в Первый арбитражный апелляционный суд через Арбитражный суд Владимирской области в течение месяца со дня его принятия. В таком же порядке решение может быть обжаловано в Арбитражный суд Волго-Вятского округа в срок, не превышающий двух месяцев со дня вступления в законную силу обжалуемого судебного акта, при условии, что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жалобы. Судья Н.Ю. Давыдова Суд: АС Владимирской области (подробнее) Истцы: ООО "Энергосбыт Волга" (подробнее) Ответчики: АО "Владимирская газовая компания" (подробнее) Судьи дела: Давыдова Н.Ю.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