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«Алга-Сервис» в пользу ООО «Камстрой» задолженность в размере 2 911 979 руб. 50 коп., пени в размере 1 385 822 руб. 93 коп., расходы по оплате услуг представителя в размере 50 000 руб. 00 коп., государственную пошлину в размере 153 934 руб. 00 коп.3. В остальной части заявленные исковые требования оставить без удовлетворения.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1 статьи 259 Арбитражного процессуального кодекса Российской Федерации решение может быть обжаловано в Десятый арбитражный апелляционный суд в течение месяца после принятия арбитражным судом первой инстанции обжалуемого решения. Судья И.Г. Демина Суд: АС Московской области (подробнее) Истцы: ООО КАМСТРОЙ (подробнее) Ответчики: ООО АЛГА-СЕРВИС (подробнее) Судьи дела: Демина И.Г. (судья) (подробнее) Последние документы по делу: Резолютивная часть решения от 22 сентября 2025 г. по делу № А41-46018/2025 Решение от 20 ноября 2025 г. по делу № А41-46018/2025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