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общества с ограниченной ответственностью «Мечел-Материалы» о проведении зачета встречной неустойки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«Мечел-Материалы», ИНН &lt;***&gt;, г. Челябинск, в пользу общества с ограниченной ответственностью «Мульти Партс Солюшн», ИНН &lt;***&gt;, г. Москва, денежные средства в размере 221 122,65 руб., из которых 215 330,27 руб. – основной долг, 5 792,38 руб. – неустойка на 01.09.2025, с последующим начислением неустойки за нарушение срока оплаты исходя из ставки в размере 0,01% от суммы основного долга в размере 215 330,27 руб. за каждый день просрочки, начиная с 02.09.2025 до момента фактической оплаты задолженности, но не более 4 974,12 руб. (или 5% от суммы задолженности, с учетом уже взысканной неустойки в размере 5 792,38 руб.), а также судебные расходы: по уплате государственной пошлины в размере 16 056 руб., по оплате услуг представителя в размере 20 000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порядке апелляционного производства в Восемнадцатый арбитражный апелляционный суд в течение месяца со дня его принятия (изготовления в полном объеме), путем подачи жалобы через Арбитражный суд Челябинской области. Судья В.И. Гладышева Информацию о времени, месте и результатах рассмотрения апелляционной жалобы можно получить соответственно на интернет-сайте Восемнадцатого арбитражного апелляционного суда http://18aas.arbitr.ru Суд: АС Челябинской области (подробнее) Истцы: ООО "МУЛЬТИ ПАРТС СОЛЮШН" (подробнее) Ответчики: ООО "Мечел-Материалы" (подробнее) Судьи дела: Гладышева В.И. (судья) (подробнее) Судебная практика по: Признание договора незаключенным Судебная практика по применению нормы ст. 432 ГК РФ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