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Симферополь</w:t>
      </w:r>
    </w:p>
    <w:p>
      <w:pPr>
        <w:spacing w:after="200"/>
        <w:jc w:val="center"/>
      </w:pPr>
      <w:r>
        <w:rPr>
          <w:rFonts w:ascii="Times New Roman" w:hAnsi="Times New Roman" w:eastAsia="Times New Roman" w:cs="Times New Roman"/>
          <w:b w:val="0"/>
          <w:i w:val="0"/>
          <w:sz w:val="22"/>
        </w:rPr>
        <w:t>9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Исковое заявление удовлетворить частично.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Общества с ограниченной ответственностью «Альянсстрой» в пользу Общества с ограниченной ответственностью «Крантехсервис» задолженность по Договору № 443 на оказание услуг автокранами от 07.10.2024 в размере 1 884 730,00 рублей, пени за период с 02.12.2024 по 15.02.2025 в размере 98 005,96 рублей, с их последующим начисление на сумму основного долга 1 884 730,00 рублей из расчета 0,1% за каждый день просрочки по день фактического исполнения обязательства, а также судебные расходы на оплату услуг представителя в размере 29 898,00 рублей, судебные расходы, связанные с уплатой государственной пошлины в размере 84 397,00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удовлетворении остальной части искового заявления – отказать.</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Возвратить Обществу с ограниченной ответственностью «Крантехсервис» из Федерального бюджета излишне уплаченную государственную пошлину в размере 100,00 рублей, перечисленную на основании квитанции № 29 от 14.03.2025.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в течение месяца со дня принятия решения (изготовления его в полном объеме). Судья Е.В. Гранковская Суд: АС Республики Крым (подробнее) Истцы: ООО "Крантехсервис" (подробнее) Ответчики: ООО "АльянсСтрой" (подробнее) Судьи дела: Гранковская Е.В. (судья) (подробнее) Судебная практика по: Признание договора незаключенным Судебная практика по применению нормы ст. 432 ГК РФ По договору подряда Судебная практика по применению норм ст. 702, 703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