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 полностью.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в пользу Общероссийской общественной организации «Российское Авторское Общество» компенсацию за нарушение исключительного права на произведения в размере 120 000,00 рублей, а также судебные расходы, связанные с уплатой государственной пошлины за рассмотрение иска в суде первой инстанции в размере 11 000,00 рублей. Решение подлежит немедленному исполнению и может быть обжаловано в Двадцать первый арбитражный апелляционный суд в срок, не превышающий пятнадцати дней со дня его принятия. Судья Н.Ю. Якимчук Суд: АС Республики Крым (подробнее) Истцы: Общероссийская "Российское Авторское Общество" (подробнее) Судьи дела: Якимчук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