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иска отказать. Решение может быть обжаловано в месячный срок со дня его принятия в Двадцатый арбитражный апелляционный суд через Арбитражный суд Рязанской области. На решение, вступившее в законную силу, может быть подана кассационная жалоба в порядке и сроки, установленные статьями 275 , 276 Арбитражного процессуального кодекса Российской Федерации, через Арбитражный суд Рязанской области.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 Арбитражный суд Рязанской области разъясняет, что в соответствии со статьей 177 Арбитражного процессуального кодекса Российской Федерации решение, выполненное в форме электронного документа, направляется лицам, участвующим в деле, посредством размещения на официальном сайте Арбитражного суда Рязанской области в информационно-телекоммуникационной сети "Интернет" по адресу: http://ryazan.arbitr.ru (в информационной системе "Картотека арбитражных дел" на сайте федеральных арбитражных судов по адресу: http://kad.arbitr.ru). По ходатайству лиц, участвующих в деле,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 Судья Е.В. Колбасова Суд: АС Рязанской области (подробнее) Ответчики: ООО "АВТОФУРАЖ" (подробнее) Иные лица: Отдел адресно - справочной работы УВМ УМВД России по Рязанской области (подробнее) Отдел ГИБДД УМВД России по г. Новороссийску (подробнее) ОТДЕЛЕНИЕ ФОНДА ПЕНСИОННОГО И СОЦИАЛЬНОГО СТРАХОВАНИЯ РОССИЙСКОЙ ФЕДЕРАЦИИ ПО РЯЗАНСКОЙ ОБЛАСТИ (подробнее) УМВД по г.Новороссийску (подробнее) Судьи дела: Котлова Л.И. (судья) (подробнее) Судебная практика по: Упущенная выгода Судебная практика по применению норм ст. 15, 393 ГК РФ Признание договора купли продажи недействительным Судебная практика по применению норм ст. 454, 168, 170, 177, 179 ГК РФ Ответственность за причинение вреда, залив квартиры Судебная практика по применению нормы ст. 1064 ГК РФ Мнимые сделки Судебная практика по применению нормы ст. 170 ГК РФ Притворная сделка Судебная практика по применению нормы ст. 170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