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Александров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муниципального унитарного предприятия "Александров Водоканал" в пользу общества с ограниченной ответственностью "Энергосбыт Волга" пени в сумме 71 538 руб. 28 коп., расходы по уплате государственной пошлины в размере 26 089 руб. 12 коп.2. Прекратить производство по делу в части взыскания задолженности в сумме 1 746 009 руб. 91 коп.3. Возвратить обществу с ограниченной ответственностью "Энергосбыт Волга" из федерального бюджета государственную пошлину в размере 53 467 руб. 88 коп., уплаченную по платежному поручению от 10.06.2025 № 9016. Основанием для возврата государственной пошлины является настоящее решение. Решение может быть обжаловано в Первый арбитражный апелляционный суд через Арбитражный суд Владимирской области в течение месяца со дня его принятия.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Судья Р.К. Степанова Суд: АС Владимирской области (подробнее) Истцы: ООО "Энергосбыт Волга" (подробнее) Ответчики: МУП "АЛЕКСАНДРОВ ВОДОКАНАЛ" МУНИЦИПАЛЬНОГО ОБРАЗОВАНИЯ ГОРОД АЛЕКСАНДРОВ (подробнее) Судьи дела: Степанова Р.К.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