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Александров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муниципального унитарного предприятия "Александров Водоканал" в пользу общества с ограниченной ответственностью "Энергосбыт Волга" пени в сумме 87 397 руб. 86 коп., расходы по уплате государственной пошлины в размере 26 700 руб. 47 коп.2. Прекратить производство по делу в части взыскания задолженности в сумме 1 722 847 руб. 27 коп.3. Возвратить обществу с ограниченной ответственностью "Энергосбыт Волга" из федерального бюджета государственную пошлину в размере 52 833 руб. 53 коп., уплаченную по платежному поручению от 12.08.2025 № 12953. Основанием для возврата государственной пошлины является настоящее решение. Решение может быть обжаловано в Первый арбитражный апелляционный суд через Арбитражный суд Владимирской области в течение месяца со дня его принятия. В таком же порядке решение может быть обжаловано в Арбитражный суд Волго-Вятского округа в срок, не превышающий двух месяцев со дня вступления в законную силу обжалуемого судебного акта, при условии, что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жалобы. Судья Р.К. Степанова Суд: АС Владимирской области (подробнее) Истцы: ООО "Энергосбыт Волга" (подробнее) Ответчики: МУП "АЛЕКСАНДРОВ ВОДОКАНАЛ" МУНИЦИПАЛЬНОГО ОБРАЗОВАНИЯ ГОРОД АЛЕКСАНДРОВ (подробнее) Судьи дела: Степанова Р.К.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