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работы по спорным договора выполнены Истцом в период с 2017 года по 2020 год. В 2019 году спорные объекты были введены в эксплуатацию, (абз. 8-9 стр. 2 Решения).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Договором определены конкретные сроки приёмки и оплаты работ, в связи с чем право требовать оплаты возникло у истца по истечении срока на их приёмку, установленного договором, (абз. 5 стр. 4 Решения).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с которой ответчик узнал о нарушении своего права на оплату работ определяется датой наступления обязательства ответчика предъявить выполненные работы к приёмке согласно п. 8.1.20 спорных договоров с учётом срока на приёмку и оплату работ в соответствии с условиями Договора, (абз. 6 стр. 4 Решения). Постановлением Девятого Арбитражного Апелляционного суда от 24.04.2024 № 09АП-20792/2024 по Делу № А40-216089/23 Решение Арбитражного суда города Москвы от 15.02.2024 г. по Делу № А40-216089/23-113-1735 оставлено без изменения. Постановлением Арбитражного суда Московского округа от 24.09.2024 г. по делу № А40-216089/2023 Решение Арбитражного суда города Москвы от 15.02.2024 г. и Постановление Девятого арбитражного апелляционного суда от 24 апреля 2024 года по делу № А40-216089/2023, оставлены без изменения. Таким образом, суды всех инстанций сделали выводы по определению срока исковой давности от даты обязательства Субподрядчика по промежуточной сдаче и приемке выполненных работ указанного в п. 8.1.20 Главы «8. Обязательства Подрядчика» и установленного в. Главы «4. Порядок промежуточной приемки и оплаты работ» вышеуказанных договоров. В решении от 15.02.2024г. по делу А40-216089/23-113-1735, Арбитражный суд города Москва, а также судами апелляционной и кассационной инстанции, сделаны выводы, что по Актам, направленным Истцом по истечении длительного промежутка времени от даты фактического выполнения работ, следует применить срок исковой давности, рассчитанный согласно условиям договора, т.е. со дня, когда данная работа должна была быть выполнена, сдана и подлежала оплате, а не от фактических дат подписания (направления) актов выполненных работ. По договору № 20 от 24.07.2017г. все работы приняты надлежащим образом, акты КС-2, КС-3 за период с 2018г. по 2022г. подписаны с двух сторон, при этом, сумма гарантийных удержаний предъявляемая по настоящему иску рассчитана по актам периода 2018г.-2019г., так как после запуска метрополитена в 2019г., сумма гарантийных удержаний с 2020г. в актах КС-3 не учитывалась. Подписанные с двух сторон Акт сдачи-приемки результата завершенного комплекса строительно-монтажных работ и Акт об окончании выполнения комплекса подрядных работ в материалы настоящего дела предоставлены. С учетом того, что по договору № 50 от 01.02.2017г. часть работ, длительное время не принималась Ответчиком, и Истец был вынужден передать данные работы Ответчику по односторонним актам, в связи с чем, Акт сдачи-приемки результата завершенного комплекса строительно-монтажных работ и Акт об окончании выполнения комплекса подрядных работе подписаны не были. Между тем, сумма гарантийных удержаний, предъявляемая по настоящему иску, также рассчитана Истцом только по актам периода 2018г.-2019г., так как после запуска метрополитена в 2019г., сумма гарантийных удержаний с 2020г. в актах КС-3 не учитывалась. Учитывая вышеизложенное, срок оплаты по гарантийным обязательствам следует определять с учетом выполнения, передачи и принятия работ. Довод ответчика о пропуске срока исковой давности, опровергается указанными доказательствами. В соответствии со ст.ст. 102 и 110 АПК РФ госпошлина по иску относится на ответчика. С учетом изложенного, на основании ст.ст. 196 , 199 , 200 , 307 , 309 , 310 , 711 ГК РФ , руководствуясь ст.ст. 102 , 110 , 167 - 171 , 176 , 180 , 181 АПК РФ , суд Р Е Ш И Л: Взыскать с ОБЩЕСТВА С ОГРАНИЧЕННОЙ ОТВЕТСТВЕННОСТЬЮ "МИП-СТРОЙ № 1" в пользу ОБЩЕСТВА С ОГРАНИЧЕННОЙ ОТВЕТСТВЕННОСТЬЮ "ЭНЕРГОАВТОМАТИКА" задолженность в размере 4 144 849 (Четыре миллиона сто сорок четыре тысячи восемьсот сорок девять) руб. 44 коп., а также расходы по оплате государственной пошлины в размере 149 345 (Сто сорок девять тысяч триста сорок пять) руб. Решение может быть обжаловано в Девятый арбитражный апелляционный суд в месячный срок со дня его принятия. Судья Пронин А.П. Суд: АС города Москвы (подробнее) Истцы: ООО "Энергоавтоматика" (подробнее) Ответчики: ООО "МИП-СТРОЙ №1" (подробнее) Судьи дела: Пронин А.П. (судья) (подробнее) Последние документы по делу: Резолютивная часть решения от 6 октября 2025 г. по делу № А40-88780/2025 Решение от 26 ноября 2025 г. по делу № А40-88780/2025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