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публичного акционерного общества "Россети Центр и Приволжье" в пользу акционерного общества "ЭнергосбыТ Плюс" убытки в размере 332 293 руб. 64 коп., расходы по уплате государственной пошлины в размере 20 359 руб. 23 коп.2. В удовлетворении искового заявления в остальной части отказать. Решение может быть обжаловано в Первый арбитражный апелляционный суд через Арбитражный суд Владимирской области в течение месяца со дня его принятия. В таком же порядке решение может быть обжаловано в Арбитражный суд Волго-Вятского округа в срок, не превышающий двух месяцев со дня вступления в законную силу обжалуемого судебного акта, при условии,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Р.К. Степанова Суд: АС Владимирской области (подробнее) Истцы: АО "ЭнергосбыТ Плюс" (подробнее) Ответчики: ПАО ФИЛИАЛ "ВЛАДИМИРЭНЕРГО" "РОССЕТИ ЦЕНТР И ПРИВОЛЖЬЕ" (подробнее) Судьи дела: Степанова Р.К.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