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19</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силу статей 309 и 310 Гражданского кодекса Российской Федерации (далее - ГК РФ)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делового оборота или иными обычно предъявляемыми требованиями. Односторонний отказ от исполнения обязательства не допускается. Согласно статье 702 ГК РФ (по договору подряда одна сторона (подрядчик) обязуется выполнить по заданию другой стороны (заказчика) определенную работу и сдать ее результат заказчику, а заказчик обязуется принять результат работы и оплатить его. В силу статьи 711 ГК РФ сдача результата работ заказчику является основанием для возникновения у него обязательства по оплате принятых работ. Пунктом 1 статьи 720 ГК РФ заказчик обязан в сроки и в порядке, которые предусмотрены договором подряда, с участием подрядчика осмотреть и принять выполненную работу (ее результат). Пунктом 8 информационного письма Президиума Высшего Арбитражного Суда Российской Федерации от 24.01.2000 № 51 «Обзор практики разрешения споров по договору строительного подряда» разъяснено, что основанием для возникновения обязательства заказчика по оплате выполненных работ является сдача результата работ заказчику. В соответствии с пунктом 1 статьи 450.1 ГК РФ предоставленное названным Кодексом, другими законами, иными правовыми актами или договором право на односторонний отказ от договора (исполнения договора) (статья 310)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названным Кодексом, другими законами, иными правовыми актами или договором. В соответствии с частью 2 статьи 715 ГК РФ если подрядчик не приступает своевременно к исполнению договора подряда или выполняет работу настолько медленно, что окончание ее к сроку становится явно невозможным, заказчик вправе отказаться от исполнения договора и потребовать возмещения убытков. Воспользовавшись указанным правом, истец отказался от договора, такой отказ в установленном порядке не спорен. В соответствии с пунктом 4 статьи 453 ГК РФ в случае, когда до расторжения или изменения договора одна из сторон, получив от другой стороны исполнение обязательства по договору, не исполнила свое обязательство либо предоставила другой стороне неравноценное исполнение, к отношениям сторон применяются правила об обязательствах вследствие неосновательного обогащения (глава 60 Гражданского кодекса Российской Федерации), если иное не предусмотрено законом или договором либо не вытекает из существа обязательства. В соответствии с пунктом 1 статьи 1102 ГК РФ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статьей 1109 названного Кодекса. Факт перечисления истцом ответчику 589 950 руб. по Договору подтверждается материалами дела. Между тем, подрядчиком выполнены только работы по механо-монтажу лифта Л5 на 555 750 руб. – пуско-наладочные работы не могут быть признаны выполненными. Надлежащие доказательства выполнения таких работ в материалы дела не представлены. Ответчик указал, что невозможность выполнения таких работ была вызвана неисполнением заказчиком встречных обязательств по договору: не произведено остекление шахты лифта, в нарушение п. 5.2.9 Договора после проведения отделочных работ по шахте лифта заказчик не обеспечил очистку шахты после отделочных работ в шахте лифта и обеспыливание шахты. Ответчик отметил, что факт выполнения полного комплекса работ по Договору, в том числе, пуско-наладочных работ, подтверждается видеозаписью запуска лифта. Вопреки доводам ответчика, работы по остеклению металл каркасной шахты были завершены 16.05.2023, что подтверждается подписанным актом с подрядной организацией об окончании монтажа остекления лифта (акт освидетельствования скрытых работ от 16.05.2023). Работы по очистке шахты после отделочных работ в шахте лифта и обеспыливание шахты были проведены в рамках договора № 31-07 от 31.07.2023 с ФИО3 Ответчиком в нарушение ст. 65 АПК РФ не представлено доказательств уведомления истца о приостановлении работ на основании ст. 716 ГК РФ , невозможности выполнения работ в срок, по независящим от подрядчика причинам. Доводы ответчика о возможной причине выхода из строя платы в части загрязнения оборудования отклоняются судом, с учетом вывода эксперта о том, что выявленные загрязнения являются незначительными, данные загрязнения не проводят электрический ток, не являются причиной выхода из строя платы KMPRO-V2. Согласно заключению эксперта в исследуемой плате управления контроллера лифта KMPRO-V2 не выявлены: следы короткого замыкания, термических пробоев, оплавления контактов в результате подачи высокого напряжения, следы механического повреждения элементов платы. Эксперт отметил, что неисправность терминала Kleemann Genius20 (программатор НТ (Hand Terminal)) могла возникнуть в результате подачи высокого напряжения на элементы платы терминала Kleemann Genius20 (программатор НТ (Hand Terminal)) или в результате короткого замыкания на плате терминала Kleemann Genius20 (программатор НТ (Hand Terminal)). Установить точную причину выхода из строя терминала Kleemann Genius20 (программатор НТ (Hand Terminal)) не представляется возможным в связи с не предоставлением данного терминала (программатор НТ (Hand Terminal)) на осмотр. Перепад напряжения в сети также не является причиной выхода из строя платы контроллера лифта KMPRO-V2 и терминала Kleemann Genius20 (программатора НТ (Hand Terminal). Видеозапись запуска лифта не является надлежащим доказательством сдачи и приемки пуско-наладочных работ по Договору. При этом суд отмечает, что терминал Kleemann Genius20 (программатор НТ (Hand Terminal)) был передан ответчику и, неблагоприятные последствия от невозможности представить его для проведения исследования должны быть возложены на ответчика. Ответчиком в материалы дела не представлены надлежащие доказательства выполнения пуско-наладочных работ по договору, либо возврата перечисленных денежных средств. При указанных обстоятельствах, требование о взыскании 34 200 руб. неосвоенного аванса надлежит удовлетворить в полном объеме.</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Истцом также заявлено требование о взыскании 2551,95 руб. процентов за пользование чужими денежными средствами за период с 20.09.2023 по 18.03.2024, а также проценты за пользование чужими денежными средствами, начисленные на основании статьи 395 Гражданского кодекса Российской Федерации на сумму неосновательного обогащения за период с 19.03.2024 по дату фактического исполнения обязательства. В силу п.1 ст. 395 ГК РФ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Эти правила применяются, если иной размер процентов не установлен законом или договором. Расчёт процентов проверен судом и признан обоснованным. Ответчик не заявил каких-либо возражений по расчету процентов, контррасчет не представил. Кроме того, истец вправе требовать присуждения процентов за пользования чужими денежными средствами по день фактического исполнения обязательства (фактической уплаты денежных средств). Согласно разъяснениям, данным в пункте 48 Постановления Пленума Верховного Суда Российской Федерации от 24.03.2016 N 7 "О применении судами некоторых положений Гражданского кодекса Российской Федерации об ответственности за нарушение обязательств", сумма процентов, подлежащих взысканию по правилам статьи 395 ГК РФ , определяется на день вынесения решения судом исходя из периодов, имевших место до указанного дня. Проценты за пользование чужими денежными средствами по требованию истца взимаются по день уплаты этих средств кредитору. Одновременно с установлением суммы процентов, подлежащих взысканию, суд при наличии требования истца в резолютивной части решения указывает на взыскание процентов до момента фактического исполнения обязательства (пункт 3 статьи 395 ГК РФ ). При этом день фактического исполнения обязательства, в частности уплаты задолженности кредитору, включается в период расчета процентов. Расчет процентов, начисляемых после вынесения решения, осуществляется в процессе его исполнения судебным приставом-исполнителем, а в случаях, установленных законом, - иными органами, организациями, в том числе органами казначейства, банками и иными кредитными организациями, должностными лицами и гражданами (часть 1 статьи 7, статья 8, пункт 16 части 1 статьи 64 и часть 2 статьи 70 Закона об исполнительном производстве). Таким образом, требование о взыскании процентов надлежит удовлетворить.</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Истцом заявлено требование о взыскании 499 125,38 руб. в возмещение убытков. В соответствии с пунктом 1 статьи 721 ГК РФ качество выполненной подрядчиком работы должно соответствовать условиям договора подряда, а при отсутствии или неполноте условий договора требованиям, обычно предъявляемым к работам соответствующего рода. Если иное не предусмотрено законом, иными правовыми актами или договором, результат выполненной работы должен в момент передачи заказчику обладать свойствами, указанными в договоре или определенными обычно предъявляемыми требованиями, и в пределах разумного срока быть пригодным для установленного договором использования, а если такое использование договором не предусмотрено, для обычного использования результата работы такого рода. В силу пункта 1 статьи 723 ГК РФ в случаях, когда работа выполнена подрядчиком с отступлениями от договора подряда, ухудшившими результат работы, или с иными недостатками, которые делают его не пригодным для предусмотренного в договоре использования либо при отсутствии в договоре соответствующего условия непригодности для обычного использования, заказчик вправе, если иное не установлено законом или договором, по своему выбору потребовать от подрядчика: безвозмездного устранения недостатков в разумный срок; соразмерного уменьшения установленной за работу цены; возмещения своих расходов на устранение недостатков, когда право заказчика устранять их предусмотрено в договоре подряда (статья 397). Согласно пункту 1 статьи 393.1 ГК РФ в случае, если неисполнение или ненадлежащее исполнение должником договора повлекло его досрочное прекращение и кредитор заключил взамен его аналогичный договор, кредитор вправе потребовать от должника возмещения убытков в виде разницы между ценой, установленной в прекращенном договоре, и ценой на сопоставимые товары, работы или услуги по условиям договора, заключенного взамен прекращенного договора. Если кредитор не заключил аналогичный договор взамен прекращенного договора (пункт 1 настоящей статьи), но в отношении предусмотренного прекращенным договором исполнения имеется текущая цена на сопоставимые товары, работы или услуги, кредитор вправе потребовать от должника возмещения убытков в виде разницы между ценой, установленной в прекращенном договоре, и текущей ценой (пункт 2 статьи 393.1 ГК РФ ). Из материалов дела усматривается, что для устранения недостатков выполненных по Договору работ и завершения таких работ истец заключил договор от 15.09.2023 № 15/09-23 П15, заключенный с ООО «ЛифтЭко-плюс», акт приемки выполненных работ от 10.10.2023, платежное поручение от 27.12.2023 № 1537 на 369 000 руб. Из указанного Договора 215 000 руб. – расходы на монтаж неисправного головного лифтового оборудования (по сути, на устранение недостатков), а 80 000 руб. и 74 000 руб. – расходы на пуско-наладку и подготовку для декларирования (по сути, замещающая сделка – спорным Договором предусмотрена стоимость таких работ в 50 350 руб. и 49 400 руб., соответственно). Сумма в 215 000 руб. может быть взыскана с ответчика в полном объеме на основании статьи 723 ГК РФ , в то время как расходы на пуско-наладку и подготовку для декларирования может быть возложена на ответчика только в размере разницы между стоимостями таких услуг по первоначальной и замещающей сделкам – 29 650 руб. (80 000 - 50 350) и 24 600 руб. (74 000 - 49 400). По мнению суда, обоснованным размером убытков является стоимость работ с учетом разницы стоимости указанных видов работ по основному и замещающему договору в размере 269 250 руб. (215 000 + 29 650 + 24 600). Таким образом, требование о взыскании убытков, связанных с заключением договора от 15.09.2023 № 15/09-23 П15 надлежит удовлетворить частично.</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Истцом заявлено требование о взыскании 300 000 руб. представительских расходов. В соответствии с частями 1, 2 статьи 110 АПК РФ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Согласно статье 106 АПК РФ к судебным издержкам, связанным с рассмотрением дела в арбитражном суде, относятся денежные суммы, подлежащие выплате экспертам, специалистам, свидетелям, переводчикам, расходы, связанные с проведением осмотра доказательств на месте, расходы на оплату услуг адвокатов и иных лиц, оказывающих юридическую помощь (представителей), расходы юридического лица на уведомление о корпоративном споре в случае, если федеральным законом предусмотрена обязанность такого уведомления, и другие расходы, понесенные лицами, участвующими в деле, в связи с рассмотрением дела в арбитражном суде. Приведенный в статье 106 АПК РФ перечень судебных издержек не является исчерпывающим. Вместе с тем, такие издержки должны соответствовать критериям относимости и связи с судебным спором. Пунктом 10 постановления Пленума Верховного Суда Российской Федерации от 21.01.2016 N 1 "О некоторых вопросах применения законодательства о возмещении издержек, связанных с рассмотрением дела" (далее – Постановление N 1) предусмотрено, что лицо, заявляющее о взыскании судебных издержек, должно доказать факт их несения, а также связь между понесенными указанным лицом издержками и делом, рассматриваемым в суде с его участием. Пунктом 11 Постановления N 1 предусмотрено, что, разрешая вопрос о размере сумм, взыскиваемых в возмещение судебных издержек, суд не вправе уменьшать его произвольно, если другая сторона не заявляет возражения и не представляет доказательства чрезмерности взыскиваемых с нее расходов. Вместе с тем в целях реализации задачи судопроизводства по справедливому публичному судебному разбирательству, обеспечения необходимого баланса процессуальных прав и обязанностей сторон (статьи 2 , 35 ГПК РФ , статьи 3 , 45 КАС РФ , статьи 2 , 41 АПК РФ ) суд вправе уменьшить размер судебных издержек, в том числе расходов на оплату услуг представителя, если заявленная к взысканию сумма издержек, исходя из имеющихся в деле доказательств, носит явно неразумный (чрезмерный) характер (абзац 2 пункта 11 Постановления № 1). Материалами дела подтверждается факт несения истцом расходов на оплату юридических услуг в размере 300 000 руб. Оценив сложность дела, объем проведенной представителем работы, суд усматривает, что заявленный размер расходов носит явно неразумный (чрезмерный) характер, и нарушает право ответчика на справедливое публичное судебное разбирательство и обеспечение необходимого баланса процессуальных прав и обязанностей сторон, в связи с чем подлежит уменьшению в соответствии с разъяснениями, содержащимися в абзаце 2 пункта 11 Постановления N 1. С учетом обстоятельств дела, суд приходит к выводу о том, что подлежат взысканию расходы в размере 150 000 руб. – именно такая сумма, по мнению суда, является разумной компенсацией расходов истца на оказанные ему юридические услуги, и обеспечит право ответчика на справедливое публичное судебное разбирательство и баланс процессуальных прав и обязанностей сторон. С учетом того, заявленные требования удовлетворены на 57,11 %, представительские расходы за рассмотрение дела в суде первой инстанции надлежит удовлетворить в размере 85 665 руб. (150 000 * 57,11%). Руководствуясь статьями 110 , 167 - 170 Арбитражного процессуального кодекса Российской Федерации, Арбитражный суд города Санкт-Петербурга и Ленинградской области решил: Взыскать с общества с ограниченной ответственностью "Транс лэвэл компани" в пользу общества с ограниченной ответственностью "Строительно-монтажное управление № 19" 34 200 руб. неосновательного обогащения, 2551,95 руб. процентов за пользование чужими денежными средствами за период с 20.09.2023 по 18.03.2024, а также проценты за пользование чужими денежными средствами, начисленные на основании статьи 395 Гражданского кодекса Российской Федерации на сумму неосновательного обогащения за период с 19.03.2024 по дату фактического исполнения обязательства, 269 250 руб. в возмещение убытков, 85 665 руб. представительских расходов, 7833 руб. в возмещение судебных расходов на уплату государственной пошлины. В остальной части в иске отказать. Решение может быть обжаловано в Тринадцатый арбитражный апелляционный суд в течение месяца со дня принятия Решения. Судья Сурков А. А. Суд: АС Санкт-Петербурга и Ленинградской обл. (подробнее) Истцы: ООО "СТРОИТЕЛЬНО-МОНТАЖНОЕ УПРАВЛЕНИЕ №19" (подробнее) СОЮЗ "Санкт-ПетербургСКАЯ ТОРГОВО-ПРОМЫШЛЕННАЯ ПАЛАТА" (подробнее) Ответчики: ООО "ТРАНС ЛЭВЭЛ КОМПАНИ" (подробнее) Иные лица: ООО "Бюро экспертиз и консультации №1" (подробнее) ООО "ГлавЭнергоСтройКонтроль" (подробнее) ООО "Ленинградская Экспертная Служба "ЛЕНЭКСП" (подробнее) ООО "Центр независимой профессиональной экспертизы "ПетроЭксперт" (подробнее) Судьи дела: Сурков А.А. (судья) (подробнее) Судебная практика по: Неосновательное обогащение, взыскание неосновательного обогащения Судебная практика по применению нормы ст. 1102 ГК РФ По договору подряда Судебная практика по применению норм ст. 702, 703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