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 Взыскать с Российской Федерации в лице Территориального управления Федерального агентства по управлению государственным имуществом в Свердловской области (ИНН &lt;***&gt;, ОГРН &lt;***&gt;) в пользу Муниципального унитарного предприятия Муниципального округа Сухой Лог «Жилкомсервис-СЛ» (ИНН &lt;***&gt;, ОГРН &lt;***&gt;) денежные средства в размере 1026956 руб. 32 коп., в том числе основной долг в размере 970905 руб. 21 коп. за поставленные в апреле 2025 года коммунальные ресурсы, неустойка в размере 56051 руб. 11 коп., начисленная с 13.05.2025 по 02.10.2025, с продолжением начисления неустойки на сумму основного долга, начиная с 03.10.2025 по день фактической оплаты основного долга в соответствии с порядком, установленным п. 14 ст. 155 Жилищного кодекса Российской Федерации, а также 55809 руб. 00 коп. в возмещение расходов по оплате государственной пошлины.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Акционерному обществу «Расчетный центр Урала» (ИНН &lt;***&gt;, ОГРН &lt;***&gt;) из федерального бюджета государственную пошлину в размере 648 руб. 00 коп., уплаченную по платежному поручению №10414 от 27.08.2025.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 настоящему делу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http://ekaterinburg.arbitr.ru. В случае обжалования решения в порядке апелляционного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http://17aas.arbitr.ru.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 3 ст.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судом. С информацией о дате и времени выдачи исполнительного листа канцелярией суда можно ознакомиться в сервисе «Картотека арбитражных дел» в карточке дела в документе «Дополнение». В случае неполучения взыскателем исполнительного листа в здании суда в назначенную дату, исполнительный лист не позднее следующего рабочего дня будет направлен по юридическому адресу взыскателя заказным письмом с уведомлением о вручении. В случае если до вступления судебного акта в законную силу поступит апелляционная жалоба, (за исключением дел, рассматриваемых в порядке упрощенного производства) исполнительный лист выдается только после вступления судебного акта в законную силу. В этом случае дополнительная информация о дате и времени выдачи исполнительного листа будет размещена в карточке дела «Дополнение». Судья А.С. ФИО1 Суд: АС Свердловской области (подробнее) Истцы: МУП ГОРОДСКОГО ОКРУГА СУХОЙ ЛОГ "ЖИЛКОМСЕРВИС-СЛ" (подробнее) Ответчики: Территориальное управление федерального агентства по управлению государственным имуществом Свердловской области (подробнее) Судебная практика по: Уменьшение неустойки Судебная практика по применению нормы ст. 333 ГК РФ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