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28 декабря 2025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Документы технического учета жилищного фонда, содержащие сведения о состоянии общего имущества: - технический паспорт на домовладение (здание) Актуальный (по состоянию на 2023 год) технический паспорт, заверенный ПИБ; - план земельного участка; - поэтажный план здания; - экспликация к поэтажному плану. 2.Документы на установленные коллективные (общедомовые) приборы учета и сведения о проведении их ремонта, замены, поверки: а) сопроводительные документы на прибор учета (паспорт прибора учета) б) свидетельство о поверке прибора учета, в) технические условия на проектирование узла учета и проектная документация на оборудование узла учета г) акт допуска узла учета к эксплуатации д) акт периодической проверки узла учета тепловой энергии на границе раздела смежных тепловых сетей. 3.Документы, содержащие информацию об оснащении помещений в МКД индивидуальными, общими (квартирными) приборами учета, в том числе о каждом установленном индивидуальном, общем (квартирном) приборе учета (технические характеристики, год установки, факт замены или поверки), дату последней проверки технического состояния и последнего контрольного снятия показаний: - заявках потребителей на ввод приборов учета в эксплуатацию (с приложением копии паспорта прибора учета и свидетельства о поверке); - актах ввода в эксплуатацию приборов учета; - актах проверки приборов учета. 4.Документы (акты) о приемке результатов работ, сметы, описи работ по проведению текущего ремонта, оказанию услуг по содержанию общего имущества собственников помещений в МКД : -акты о сдачи-приемки выполненных работ, -заключения по результатам технического диагностирования внутридомового газового оборудования со всеми приложениями. 5.Акты осмотра, проверки состояния (испытания) инженерных коммуникаций, приборов учета, механического, электрического, санитарно-технического и иного оборудования, в том числе оборудования для инвалидов и иных маломобильных групп населения, обслуживающего более одного помещения в МКД , конструктивных частей МКД (крыши, ограждающих несущих и ненесущих конструкций МКД , объектов, расположенных на земельном участке, и других частей общего имущества) на соответствие их эксплуатационных качеств установленным требованиями. 6.Акты на испытания систем отопления и теплоснабжения манометрические, гидростатические. 7. Акты о проведении продувки (промывки) трубопроводов; 8.Акты о проведении проверки трубопроводов на прочность и герметичность</w:t>
      </w:r>
    </w:p>
    <w:p>
      <w:pPr>
        <w:pStyle w:val="Heading3"/>
      </w:pPr>
      <w:r>
        <w:rPr>
          <w:rFonts w:ascii="Times New Roman" w:hAnsi="Times New Roman" w:eastAsia="Times New Roman" w:cs="Times New Roman"/>
          <w:b/>
          <w:i w:val="0"/>
          <w:sz w:val="22"/>
        </w:rPr>
        <w:t>Пункт 9. Правовой анализ</w:t>
      </w:r>
    </w:p>
    <w:p>
      <w:pPr>
        <w:spacing w:after="120" w:before="160"/>
        <w:ind w:firstLine="720"/>
        <w:jc w:val="both"/>
      </w:pPr>
      <w:r>
        <w:rPr>
          <w:rFonts w:ascii="Times New Roman" w:hAnsi="Times New Roman" w:eastAsia="Times New Roman" w:cs="Times New Roman"/>
          <w:b/>
          <w:i w:val="0"/>
          <w:sz w:val="22"/>
        </w:rPr>
        <w:t xml:space="preserve">9. </w:t>
      </w:r>
      <w:r>
        <w:rPr>
          <w:rFonts w:ascii="Times New Roman" w:hAnsi="Times New Roman" w:eastAsia="Times New Roman" w:cs="Times New Roman"/>
          <w:b w:val="0"/>
          <w:i w:val="0"/>
          <w:sz w:val="22"/>
        </w:rPr>
        <w:t>В отношении электроустановок МКД должны передаваться акты - приемки скрытых работ; - испытаний и наладки электрооборудования; - приемки электроустановок в эксплуатацию. 10.Акты на исправность автоматики безопасности и контрольно-измерительных приборов (КИП) котельных и инженерного оборудования зданий; -акты технического состояния и исправности работы противопожарного оборудования; - акты о готовности к зиме; - акты на испытания, промывку, наладку систем холодного, горячего водоснабжения и отопления.</w:t>
      </w:r>
    </w:p>
    <w:p>
      <w:pPr>
        <w:pStyle w:val="Heading3"/>
      </w:pPr>
      <w:r>
        <w:rPr>
          <w:rFonts w:ascii="Times New Roman" w:hAnsi="Times New Roman" w:eastAsia="Times New Roman" w:cs="Times New Roman"/>
          <w:b/>
          <w:i w:val="0"/>
          <w:sz w:val="22"/>
        </w:rPr>
        <w:t>Пункт 11. Правовой анализ</w:t>
      </w:r>
    </w:p>
    <w:p>
      <w:pPr>
        <w:spacing w:after="120" w:before="160"/>
        <w:ind w:firstLine="720"/>
        <w:jc w:val="both"/>
      </w:pPr>
      <w:r>
        <w:rPr>
          <w:rFonts w:ascii="Times New Roman" w:hAnsi="Times New Roman" w:eastAsia="Times New Roman" w:cs="Times New Roman"/>
          <w:b/>
          <w:i w:val="0"/>
          <w:sz w:val="22"/>
        </w:rPr>
        <w:t xml:space="preserve">11. </w:t>
      </w:r>
      <w:r>
        <w:rPr>
          <w:rFonts w:ascii="Times New Roman" w:hAnsi="Times New Roman" w:eastAsia="Times New Roman" w:cs="Times New Roman"/>
          <w:b w:val="0"/>
          <w:i w:val="0"/>
          <w:sz w:val="22"/>
        </w:rPr>
        <w:t>Журнал осмотра по учету технического состояния МКД</w:t>
      </w:r>
    </w:p>
    <w:p>
      <w:pPr>
        <w:pStyle w:val="Heading3"/>
      </w:pPr>
      <w:r>
        <w:rPr>
          <w:rFonts w:ascii="Times New Roman" w:hAnsi="Times New Roman" w:eastAsia="Times New Roman" w:cs="Times New Roman"/>
          <w:b/>
          <w:i w:val="0"/>
          <w:sz w:val="22"/>
        </w:rPr>
        <w:t>Пункт 12. Правовой анализ</w:t>
      </w:r>
    </w:p>
    <w:p>
      <w:pPr>
        <w:spacing w:after="120" w:before="160"/>
        <w:ind w:firstLine="720"/>
        <w:jc w:val="both"/>
      </w:pPr>
      <w:r>
        <w:rPr>
          <w:rFonts w:ascii="Times New Roman" w:hAnsi="Times New Roman" w:eastAsia="Times New Roman" w:cs="Times New Roman"/>
          <w:b/>
          <w:i w:val="0"/>
          <w:sz w:val="22"/>
        </w:rPr>
        <w:t xml:space="preserve">12. </w:t>
      </w:r>
      <w:r>
        <w:rPr>
          <w:rFonts w:ascii="Times New Roman" w:hAnsi="Times New Roman" w:eastAsia="Times New Roman" w:cs="Times New Roman"/>
          <w:b w:val="0"/>
          <w:i w:val="0"/>
          <w:sz w:val="22"/>
        </w:rPr>
        <w:t>Акты проверок готовности к отопительному периоду и выданные паспорта готовь МКД к отопительному периоду. 13. Документация на электроустановки: - генеральный план с нанесенными зданиями, сооружениями и подземными электротехническими коммуникациями; - утвержденная проектная документация (чертежи, пояснительные записки и др.) со всеми последующими изменениями; - акты приемки скрытых работ, испытаний и наладки электрооборудования, приемки электроустановок в эксплуатацию; - исполнительные рабочие схемы первичных и вторичных электрических соединений; - акты разграничения сетей по имущественной (балансовой) принадлежности и эксплуатационной ответственности между энергоснабжающей организацией Потребителем; -технические паспорта основного электрооборудования, сертификаты на оборудование и материалы, подлежащие обязательной сертификации; -производственные инструкции по эксплуатации электроустановок.</w:t>
      </w:r>
    </w:p>
    <w:p>
      <w:pPr>
        <w:pStyle w:val="Heading3"/>
      </w:pPr>
      <w:r>
        <w:rPr>
          <w:rFonts w:ascii="Times New Roman" w:hAnsi="Times New Roman" w:eastAsia="Times New Roman" w:cs="Times New Roman"/>
          <w:b/>
          <w:i w:val="0"/>
          <w:sz w:val="22"/>
        </w:rPr>
        <w:t>Пункт 14. Правовой анализ</w:t>
      </w:r>
    </w:p>
    <w:p>
      <w:pPr>
        <w:spacing w:after="120" w:before="160"/>
        <w:ind w:firstLine="720"/>
        <w:jc w:val="both"/>
      </w:pPr>
      <w:r>
        <w:rPr>
          <w:rFonts w:ascii="Times New Roman" w:hAnsi="Times New Roman" w:eastAsia="Times New Roman" w:cs="Times New Roman"/>
          <w:b/>
          <w:i w:val="0"/>
          <w:sz w:val="22"/>
        </w:rPr>
        <w:t xml:space="preserve">14. </w:t>
      </w:r>
      <w:r>
        <w:rPr>
          <w:rFonts w:ascii="Times New Roman" w:hAnsi="Times New Roman" w:eastAsia="Times New Roman" w:cs="Times New Roman"/>
          <w:b w:val="0"/>
          <w:i w:val="0"/>
          <w:sz w:val="22"/>
        </w:rPr>
        <w:t>Техническую документацию на системы кондиционирования воздуха и вентиляции.</w:t>
      </w:r>
    </w:p>
    <w:p>
      <w:pPr>
        <w:pStyle w:val="Heading3"/>
      </w:pPr>
      <w:r>
        <w:rPr>
          <w:rFonts w:ascii="Times New Roman" w:hAnsi="Times New Roman" w:eastAsia="Times New Roman" w:cs="Times New Roman"/>
          <w:b/>
          <w:i w:val="0"/>
          <w:sz w:val="22"/>
        </w:rPr>
        <w:t>Пункт 15. Правовой анализ</w:t>
      </w:r>
    </w:p>
    <w:p>
      <w:pPr>
        <w:spacing w:after="120" w:before="160"/>
        <w:ind w:firstLine="720"/>
        <w:jc w:val="both"/>
      </w:pPr>
      <w:r>
        <w:rPr>
          <w:rFonts w:ascii="Times New Roman" w:hAnsi="Times New Roman" w:eastAsia="Times New Roman" w:cs="Times New Roman"/>
          <w:b/>
          <w:i w:val="0"/>
          <w:sz w:val="22"/>
        </w:rPr>
        <w:t xml:space="preserve">15. </w:t>
      </w:r>
      <w:r>
        <w:rPr>
          <w:rFonts w:ascii="Times New Roman" w:hAnsi="Times New Roman" w:eastAsia="Times New Roman" w:cs="Times New Roman"/>
          <w:b w:val="0"/>
          <w:i w:val="0"/>
          <w:sz w:val="22"/>
        </w:rPr>
        <w:t>Паспорта на лифты и акты периодического технического освидетельствования лифтов.</w:t>
      </w:r>
    </w:p>
    <w:p>
      <w:pPr>
        <w:pStyle w:val="Heading3"/>
      </w:pPr>
      <w:r>
        <w:rPr>
          <w:rFonts w:ascii="Times New Roman" w:hAnsi="Times New Roman" w:eastAsia="Times New Roman" w:cs="Times New Roman"/>
          <w:b/>
          <w:i w:val="0"/>
          <w:sz w:val="22"/>
        </w:rPr>
        <w:t>Пункт 16. Правовой анализ</w:t>
      </w:r>
    </w:p>
    <w:p>
      <w:pPr>
        <w:spacing w:after="120" w:before="160"/>
        <w:ind w:firstLine="720"/>
        <w:jc w:val="both"/>
      </w:pPr>
      <w:r>
        <w:rPr>
          <w:rFonts w:ascii="Times New Roman" w:hAnsi="Times New Roman" w:eastAsia="Times New Roman" w:cs="Times New Roman"/>
          <w:b/>
          <w:i w:val="0"/>
          <w:sz w:val="22"/>
        </w:rPr>
        <w:t xml:space="preserve">16. </w:t>
      </w:r>
      <w:r>
        <w:rPr>
          <w:rFonts w:ascii="Times New Roman" w:hAnsi="Times New Roman" w:eastAsia="Times New Roman" w:cs="Times New Roman"/>
          <w:b w:val="0"/>
          <w:i w:val="0"/>
          <w:sz w:val="22"/>
        </w:rPr>
        <w:t>Документы по проведению работ по капитальному ремонту общего имущества МК, договору, заключенному управляющей организацией: исполнительная документа предусмотренная РД-11-02-2006: - акты освидетельствования скрытых работ; - акты освидетельствования ответственных конструкций. - акты освидетельствования участков сетей инженерно-технического - комплект рабочих чертежей с надписями о соответствии выполненных в натуре работ этим чертежам, сделанными лицами, ответственными за производство строительно-монтаж работ; - исполнительные схемы и профили участков сетей инженерно-технического обеспечения, - акты испытания и опробования технических устройств, систем инженерно-технического обеспечения; - результаты экспертиз, обследований, лабораторных и иных испытаний выполнен работ, проведенных в процессе строительного контроля; -документы, подтверждающие проведение контроля за качеством применяемых строительных материалов (изделий); -иные документы, отражающие фактическое исполнение проектных решений. - выданные уполномоченными органами исполнительной власти предписания устранении выявленных в процессе эксплуатации МКД нарушений; - акты проверки выполнения уполномоченными органами исполнительной власти указанных предписаний; - рекомендации органа местного самоуправления. 17.Иные документы: 1. Копия кадастрового плана (карты) земельного участка, удостоверенная Федеральной службой государственной регистрации, кадастр картографии (далее - Росреестр). Выписка из Единого государственного реестра недвижимости, содержащая сведения о зарегистрированных правах на объекты недвижимости, являющиеся общим имуществом. Копия градостроительного плана земельного участка, заверенная уполномоченным органом местного самоуправления.</w:t>
      </w:r>
    </w:p>
    <w:p>
      <w:pPr>
        <w:pStyle w:val="Heading3"/>
      </w:pPr>
      <w:r>
        <w:rPr>
          <w:rFonts w:ascii="Times New Roman" w:hAnsi="Times New Roman" w:eastAsia="Times New Roman" w:cs="Times New Roman"/>
          <w:b/>
          <w:i w:val="0"/>
          <w:sz w:val="22"/>
        </w:rPr>
        <w:t>Пункт 18. Правовой анализ</w:t>
      </w:r>
    </w:p>
    <w:p>
      <w:pPr>
        <w:spacing w:after="120" w:before="160"/>
        <w:ind w:firstLine="720"/>
        <w:jc w:val="both"/>
      </w:pPr>
      <w:r>
        <w:rPr>
          <w:rFonts w:ascii="Times New Roman" w:hAnsi="Times New Roman" w:eastAsia="Times New Roman" w:cs="Times New Roman"/>
          <w:b/>
          <w:i w:val="0"/>
          <w:sz w:val="22"/>
        </w:rPr>
        <w:t xml:space="preserve">18. </w:t>
      </w:r>
      <w:r>
        <w:rPr>
          <w:rFonts w:ascii="Times New Roman" w:hAnsi="Times New Roman" w:eastAsia="Times New Roman" w:cs="Times New Roman"/>
          <w:b w:val="0"/>
          <w:i w:val="0"/>
          <w:sz w:val="22"/>
        </w:rPr>
        <w:t>Реестр собственников помещений в МКД .</w:t>
      </w:r>
    </w:p>
    <w:p>
      <w:pPr>
        <w:pStyle w:val="Heading3"/>
      </w:pPr>
      <w:r>
        <w:rPr>
          <w:rFonts w:ascii="Times New Roman" w:hAnsi="Times New Roman" w:eastAsia="Times New Roman" w:cs="Times New Roman"/>
          <w:b/>
          <w:i w:val="0"/>
          <w:sz w:val="22"/>
        </w:rPr>
        <w:t>Пункт 19. Правовой анализ</w:t>
      </w:r>
    </w:p>
    <w:p>
      <w:pPr>
        <w:spacing w:after="120" w:before="160"/>
        <w:ind w:firstLine="720"/>
        <w:jc w:val="both"/>
      </w:pPr>
      <w:r>
        <w:rPr>
          <w:rFonts w:ascii="Times New Roman" w:hAnsi="Times New Roman" w:eastAsia="Times New Roman" w:cs="Times New Roman"/>
          <w:b/>
          <w:i w:val="0"/>
          <w:sz w:val="22"/>
        </w:rPr>
        <w:t xml:space="preserve">19. </w:t>
      </w:r>
      <w:r>
        <w:rPr>
          <w:rFonts w:ascii="Times New Roman" w:hAnsi="Times New Roman" w:eastAsia="Times New Roman" w:cs="Times New Roman"/>
          <w:b w:val="0"/>
          <w:i w:val="0"/>
          <w:sz w:val="22"/>
        </w:rPr>
        <w:t>Схемы внутридомовых сетей водоснабжения, канализации, центрального отопления, тепло-, газо-, электроснабжения.</w:t>
      </w:r>
    </w:p>
    <w:p>
      <w:pPr>
        <w:pStyle w:val="Heading3"/>
      </w:pPr>
      <w:r>
        <w:rPr>
          <w:rFonts w:ascii="Times New Roman" w:hAnsi="Times New Roman" w:eastAsia="Times New Roman" w:cs="Times New Roman"/>
          <w:b/>
          <w:i w:val="0"/>
          <w:sz w:val="22"/>
        </w:rPr>
        <w:t>Пункт 20. Правовой анализ</w:t>
      </w:r>
    </w:p>
    <w:p>
      <w:pPr>
        <w:spacing w:after="120" w:before="160"/>
        <w:ind w:firstLine="720"/>
        <w:jc w:val="both"/>
      </w:pPr>
      <w:r>
        <w:rPr>
          <w:rFonts w:ascii="Times New Roman" w:hAnsi="Times New Roman" w:eastAsia="Times New Roman" w:cs="Times New Roman"/>
          <w:b/>
          <w:i w:val="0"/>
          <w:sz w:val="22"/>
        </w:rPr>
        <w:t xml:space="preserve">20. </w:t>
      </w:r>
      <w:r>
        <w:rPr>
          <w:rFonts w:ascii="Times New Roman" w:hAnsi="Times New Roman" w:eastAsia="Times New Roman" w:cs="Times New Roman"/>
          <w:b w:val="0"/>
          <w:i w:val="0"/>
          <w:sz w:val="22"/>
        </w:rPr>
        <w:t>Паспорта лифтового хозяйства; 21. Протоколы измерения: сопротивления электросетей и вентиляции. В случае отсутствия перечисленных в п. 1 документов, истец просил также обязать ответчика за собственный счет восстановить документы для передачи истцу. В случае неисполнения судебного акта в установленный срок взыскать с ответчика в пользу истца денежную сумму в размере 20 000 рублей за каждый день, начиная со дня, следующего за днем окончания установленного судом срока исполнения данного решения до дня исполнения судебного акта. В судебном заседании истец поддержал уточненные исковые требования в полном объеме, заявил ходатайство об отложении судебного заседания. Ходатайство об отложении отклонено судом, поскольку в соответствии с частью 5 статьи 158 АПК РФ арбитражный суд может отложить судебное разбирательство, если признает, что оно не может быть рассмотрено в данном судебном заседании, в том числе вследствие неявки кого-либо из лиц, участвующих в деле, других участников арбитражного процесса, в случае возникновения технических неполадок при использовании технических средств ведения судебного заседания, в том числе систем видеоконференцсвязи, а также при удовлетворении ходатайства стороны об отложении судебного разбирательства в связи с необходимостью представления ею дополнительных доказательств, при совершении иных процессуальных действий. В каждой конкретной ситуации суд, исходя из обстоятельств дела и мнения лиц, участвующих в деле, самостоятельно решает вопрос об отложении слушания дела, за исключением тех случаев, когда суд обязан отложить рассмотрение дела ввиду невозможности его рассмотрения в силу требований АПК РФ. Принимая во внимание то, что в рамках настоящего дела безусловных оснований для отложения судебного разбирательства дела у суда не имеется, исходя из совокупности имеющихся в материалах дела доказательств, суд признал возможным рассмотреть дело в судебном заседании, не откладывая его на более позднюю дату, в силу чего в удовлетворении ходатайства истца следует отказать. Ответчик в судебном заседании против удовлетворения исковых требований возражал. В соответствии с частью 4 статьи 137 АПК РФ ввиду отсутствия возражений сторон против продолжения рассмотрения дела в судебном заседании арбитражного суда первой инстанции, суд завершил предварительное судебное заседание и открыл судебное заседание в первой инстанции. Исследовав материалы дела и оценив представленные в дело доказательства по правилам статьи 71 АПК РФ , арбитражный суд установил. Как следует из материалов дела, согласно протоколу общего собрания собственников помещений многоквартирного дома № 2/24 от 26.08.2024, по адресу: &lt;...&gt;, литера А, собственниками многоквартирного дома принято решение о создании ТСЖ «Аквамарин». Протоколом общего собрания собственников помещений многоквартирного дома № 2/24 от 26.08.2024 по адресу: &lt;...&gt;, литера А, принято решение о подтверждении полномочий ТСЖ. Согласно Распоряжению государственной жилищной инспекции Санкт-Петербурга от 29.11.2024 № 4857-рл, внесены изменения в реестр лицензий субъекта Российской Федерации по результатам рассмотрения ТСЖ «Аквамарин». 10.12.2024 между товариществом собственников жилья (недвижимости) «Аквамарин» (заказчик) и обществом с ограниченной ответственностью «Интерус» (управляющая организация) заключен договор на управление, эксплуатацию, оказание услуг по санитарному содержанию, техническому обслуживаю общедомового имущества многоквартирного жилого дома со встроено-пристроенными помещениями, расположенными по адресу: &lt;...&gt;, лит.А, по условиям которого заказчик поручает, а управляющая организация принимает на себя обязательства по оказанию услуг по управлению, эксплуатации, оказание услуг по санитарному содержанию, техническому обслуживаю общедомового имущества многоквартирного жилого дома, а также придомовой территории многоквартирного жилого дома по адресу: &lt;...&gt;, лит.А. Поскольку ранее обязанность по управлению вышеуказанным многоквартирным домом была возложена на ответчика, истцом в адрес ответчика было направлено письмо с требованием передать техническую и иную документацию, связанную с управлением вышеуказанным многоквартирным домом. Однако данное требование истца оставлено без удовлетворения. Соответствующая документация не передана. В силу части 2 статьи 161 Жилищного кодекса Российской Федерации собственники помещений в многоквартирном доме обязаны выбрать один из способов управления многоквартирным домом: непосредственное управление собственниками помещений в многоквартирном доме, управление товариществом собственников жилья либо жилищным кооперативом или иным специализированным потребительским кооперативом, управление управляющей организацией. Способ управления многоквартирным домом выбирается на общем собрании собственников помещений в многоквартирном доме и может быть выбран и изменен в любое время на основании его решения. Решение общего собрания о выборе способа управления является обязательным для всех собственников помещений в многоквартирном доме (часть 3 статьи 161 ЖК РФ ). Согласно части 9 статьи 161 Жилищного кодекса Российской Федерации многоквартирный дом может управляться только одной управляющей организацией. В силу части 10 статьи 162 Жилищного кодекса Российской Федерации управляющая организация в течение трех рабочих дней со дня прекращения договора управления многоквартирным домом обязана передать техническую документацию на многоквартирный дом и иные связанные с управлением таким домом документы, ключи от помещений, входящих в состав общего имущества собственников помещений в многоквартирном доме, электронные коды доступа к оборудованию, входящему в состав общего имущества собственников помещений в многоквартирном доме, и иные технические средства и оборудование, необходимые для эксплуатации многоквартирного дома и управления им, вновь выбранной управляющей организации. Порядок передачи технической документации на многоквартирный дом, иных документов, связанных с управлением этим домом, установлен в пунктах 18 - 23 постановления Правительства Российской Федерации от 15.05.2013 N 416 "О порядке осуществления деятельности по управлению многоквартирными домами" (далее - Постановление N 416). Как установлено пунктом 18 Постановления N 416, в случае принятия собранием собственников помещений в многоквартирном доме решения о досрочном расторжении договора управления уполномоченное собранием лицо в течение пяти рабочих дней направляет организации, ранее управлявшей таким домом, уведомление о принятом на собрании решении с приложением копии этого решения. Организация, ранее управлявшая многоквартирным домом и получившая указанное уведомление, передает в порядке, предусмотренном пунктом 22 Постановления N 416, техническую документацию на многоквартирный дом, иные документы, связанные с управлением многоквартирным домом, организации, выбранной собственниками помещений в многоквартирном доме для управления этим домом (пункт 19 Постановления N 416). Согласно пункту 20 Постановления N 416 техническая документация на многоквартирный дом и иные документы, связанные с управлением многоквартирным домом, подлежат передаче в составе, предусмотренном Правилами N 491; подлежащие передаче документы должны содержать актуальные на момент передачи сведения о составе и состоянии общего имущества собственников помещений в многоквартирном доме. Перечень документов, включаемых в состав технической документации на многоквартирный дом, приведен в пунктах 24 и 26 Правил N 491, а также постановлении Государственного комитета Российской Федерации по строительству и жилищно-коммунальному комплексу от 27.09.2003 N 170, которым утверждены Правила и нормы технической эксплуатации жилищного фонда (далее - Правила N 170). Таким образом, в законе установлена презумпция наличия у предыдущей управляющей компании документов, указанных в пунктах 24, 26 Правил N 491, пунктах 1.5.1 - 1.5.3 Правил N 170, имеющих актуальные данные о составе и состоянии общего имущества собственников помещений в многоквартирном доме. Обратное будет свидетельствовать о ненадлежащем управлении в многоквартирном доме со стороны ответчика. Следовательно, передача технической документации на многоквартирный дом и иных связанных с управлением этим домом документов - это безусловное действие при смене управляющей организации либо способа управления домом. Принимая во внимание совокупность обязанностей, возложенных на управляющую организацию, при рассмотрении судами данной категории дел следует исходить из презумпции наличия у лица, осуществлявшего в течение длительного времени управление многоквартирным домом, всей предусмотренной действующим законодательством документации, технических средств и оборудования, связанных с управлением таким домом. Обратное будет свидетельствовать о ненадлежащем исполнении обязательства по управлению многоквартирным домом управляющей организацией. Истребуемая истцом в судебном порядке техническая и иная, связанная с управлением многоквартирного дома документация ответчиком не передавалась. Ответчиком не представлены доказательства в материалы дела, в частности, акты приема-передачи, свидетельствующие о передаче всей технической документации истцу. Также ответчик не представил надлежащих доказательств отсутствия у него технической документации, истребуемой истцом, наличие которой у ответчика, как у управляющей организации, осуществляющей управление многоквартирным домом, презюмируется. При этом, суд отмечает, что отсутствие или утрата указанной документации не может являться основанием для прекращения данной обязанности. В этом случае документация подлежит восстановлению за счет обязанного лица. Согласно Определению Верховного Суда РФ от 02.07.2021 N 303-ЭС21-5287 по делу N А04-2984/2020 пункт 21 Правил N 416 предусматривает обязанность управляющей организации, прекратившей управление многоквартирным домом, восстановить и передать новой управляющей организации не только техническую документацию, ранее полученную ею от предшествующей управляющей организации и утраченную в течение осуществления деятельности по управлению многоквартирным домом, но и любую техническую документацию, предусмотренную пунктами 24, 26 Правил N 491, вне зависимости от того, передавалась ли такая техническая документация от ранее действующей управляющей организации той, у которой впоследствии возникает обязанность по ее передаче. Таким образом, законодательно установлена презумпция наличия у управляющей организации документов, указанных в пунктах 24 и 26 Правил N 491, пунктах 1.5.1 - 1.5.3 Правил и норм технической эксплуатации жилищного фонда, утвержденных постановлением Государственного комитета Российской Федерации по строительству и жилищно-коммунальному комплексу от 27.09.2003 N 170. В данном случае суд считает, что срок 30 календарных дней с момента вступления решения суда в силу является разумным и достаточным для исполнения судебного решения. В соответствии со статьей 308.3 ГК РФ в случае неисполнения должником обязательства кредитор вправе требовать по суду исполнения обязательства в натуре, если иное не предусмотрено настоящим ГК РФ, иными законами или договором либо не вытекает из существа обязательства. Суд по требованию кредитора вправе присудить в его пользу денежную сумму на случай неисполнения указанного судебного акта в размере, определяемом судом на основе принципов справедливости, соразмерности и недопустимости извлечения выгоды из незаконного или недобросовестного поведения. В пункте 28 постановления Пленума Верховного Суда Российской Федерации от 24.03.2016 N 7 "О применении судами некоторых положений Гражданского кодекса Российской Федерации об ответственности за нарушение обязательств" разъяснено, что на основании пункта 1 статьи 308.3 ГК РФ в целях побуждения должника к своевременному исполнению обязательства в натуре, в том числе предполагающего воздержание должника от совершения определенных действий, а также к исполнению судебного акта, предусматривающего устранение нарушения права собственности, не связанного с лишением владения (статья 304 ГК РФ ), судом могут быть присуждены денежные средства на случай неисполнения соответствующего судебного акта в пользу кредитора-взыскателя. В соответствии с пунктом 31 Постановления Пленума N 7 суд не вправе отказать в присуждении судебной неустойки в случае удовлетворения иска о понуждении к исполнению обязательства в натуре. Судебная неустойка может быть присуждена только по заявлению истца (взыскателя) как одновременно с вынесением судом решения о понуждении к исполнению обязательства в натуре, так и в последующем при его исполнении в рамках исполнительного производства (часть 4 статьи 1 ГПК РФ , части 1 и 2.1 статьи 324 АПК РФ ). Согласно разъяснениям, приведенным в пункте 32 Постановления N 7, удовлетворяя требования истца о присуждении судебной неустойки, суд указывает ее размер и (или) порядок определения. Размер судебной неустойки определяется судом на основе принципов справедливости, соразмерности и недопустимости извлечения должником выгоды из незаконного или недобросовестного поведения (пункт 4 статьи 1 ГК РФ ). В результате присуждения судебной неустойки исполнение судебного акта должно оказаться для ответчика явно более выгодным, чем его неисполнение. Принимая во внимание указанные обстоятельства, суд считает, что установление судебной неустойки в сумме 3 000 руб. за каждый день просрочки отвечает принципам справедливости и соразмерности. Оснований для взыскания судебной неустойки в большем размере судом не установлено. Оценив в совокупности и взаимной связи документы, представленные в материалы дела, суд находит исковые требования обоснованными и подлежащими удовлетворению частично. В соответствии с частью 1 статьи 110 АПК РФ расходы по уплате государственной пошлины по иску относятся на ответчика. Руководствуясь статьями 110 , 167 - 170 Арбитражного процессуального кодекса Российской Федерации, 308.3 Гражданского кодекса Российской Федерации, Арбитражный суд города Санкт-Петербурга и Ленинградской области решил: Обязать общество с ограниченной ответственностью «Сфера-Инвест» в 30-дневный срок со дня вступления в законную силу решения суда по настоящему делу передать обществу с ограниченной ответственностью «Интерус» следующую техническую документацию и иные документы, связанные с управлением многоквартирным домом по адресу: &lt;...&gt;, лит.А:</w:t>
      </w: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Документы технического учета жилищного фонда, содержащие сведения о состоянии общего имущества: - технический паспорт на домовладение (здание) Актуальный (по состоянию на 2023 год) технический паспорт, заверенный ПИБ; - план земельного участка; - поэтажный план здания; - экспликация к поэтажному плану. 2.Документы на установленные коллективные (общедомовые) приборы учета и сведения о проведении их ремонта, замены, поверки: а) сопроводительные документы на прибор учета (паспорт прибора учета) б) свидетельство о поверке прибора учета, в) технические условия на проектирование узла учета и проектная документация на оборудование узла учета г) акт допуска узла учета к эксплуатации д) акт периодической проверки узла учета тепловой энергии на границе раздела смежных тепловых сетей. 3.Документы, содержащие информацию об оснащении помещений в МКД индивидуальными, общими (квартирными) приборами учета, в том числе о каждом установленном индивидуальном, общем (квартирном) приборе учета (технические характеристики, год установки, факт замены или поверки), дату последней проверки технического состояния и последнего контрольного снятия показаний: - заявках потребителей на ввод приборов учета в эксплуатацию (с приложением копии паспорта прибора учета и свидетельства о поверке); - актах ввода в эксплуатацию приборов учета; - актах проверки приборов учета. 4.Документы (акты) о приемке результатов работ, сметы, описи работ по проведению текущего ремонта, оказанию услуг по содержанию общего имущества собственников помещений в МКД : -акты о сдачи-приемки выполненных работ, -заключения по результатам технического диагностирования внутридомового газового оборудования со всеми приложениями. 5.Акты осмотра, проверки состояния (испытания) инженерных коммуникаций, приборов учета, механического, электрического, санитарно-технического и иного оборудования, в том числе оборудования для инвалидов и иных маломобильных групп населения, обслуживающего более одного помещения в МКД , конструктивных частей МКД (крыши, ограждающих несущих и ненесущих конструкций МКД , объектов, расположенных на земельном участке, и других частей общего имущества) на соответствие их эксплуатационных качеств установленным требованиями. 6.Акты на испытания систем отопления и теплоснабжения манометрические, гидростатические.</w:t>
      </w:r>
    </w:p>
    <w:p>
      <w:pPr>
        <w:pStyle w:val="Heading3"/>
      </w:pPr>
      <w:r>
        <w:rPr>
          <w:rFonts w:ascii="Times New Roman" w:hAnsi="Times New Roman" w:eastAsia="Times New Roman" w:cs="Times New Roman"/>
          <w:b/>
          <w:i w:val="0"/>
          <w:sz w:val="22"/>
        </w:rPr>
        <w:t>Пункт 7. Правовой анализ</w:t>
      </w:r>
    </w:p>
    <w:p>
      <w:pPr>
        <w:spacing w:after="120" w:before="160"/>
        <w:ind w:firstLine="720"/>
        <w:jc w:val="both"/>
      </w:pPr>
      <w:r>
        <w:rPr>
          <w:rFonts w:ascii="Times New Roman" w:hAnsi="Times New Roman" w:eastAsia="Times New Roman" w:cs="Times New Roman"/>
          <w:b/>
          <w:i w:val="0"/>
          <w:sz w:val="22"/>
        </w:rPr>
        <w:t xml:space="preserve">7. </w:t>
      </w:r>
      <w:r>
        <w:rPr>
          <w:rFonts w:ascii="Times New Roman" w:hAnsi="Times New Roman" w:eastAsia="Times New Roman" w:cs="Times New Roman"/>
          <w:b w:val="0"/>
          <w:i w:val="0"/>
          <w:sz w:val="22"/>
        </w:rPr>
        <w:t>Акты о проведении продувки (промывки) трубопроводов; 8.Акты о проведении проверки трубопроводов на прочность и герметичность</w:t>
      </w:r>
    </w:p>
    <w:p>
      <w:pPr>
        <w:pStyle w:val="Heading3"/>
      </w:pPr>
      <w:r>
        <w:rPr>
          <w:rFonts w:ascii="Times New Roman" w:hAnsi="Times New Roman" w:eastAsia="Times New Roman" w:cs="Times New Roman"/>
          <w:b/>
          <w:i w:val="0"/>
          <w:sz w:val="22"/>
        </w:rPr>
        <w:t>Пункт 9. Правовой анализ</w:t>
      </w:r>
    </w:p>
    <w:p>
      <w:pPr>
        <w:spacing w:after="120" w:before="160"/>
        <w:ind w:firstLine="720"/>
        <w:jc w:val="both"/>
      </w:pPr>
      <w:r>
        <w:rPr>
          <w:rFonts w:ascii="Times New Roman" w:hAnsi="Times New Roman" w:eastAsia="Times New Roman" w:cs="Times New Roman"/>
          <w:b/>
          <w:i w:val="0"/>
          <w:sz w:val="22"/>
        </w:rPr>
        <w:t xml:space="preserve">9. </w:t>
      </w:r>
      <w:r>
        <w:rPr>
          <w:rFonts w:ascii="Times New Roman" w:hAnsi="Times New Roman" w:eastAsia="Times New Roman" w:cs="Times New Roman"/>
          <w:b w:val="0"/>
          <w:i w:val="0"/>
          <w:sz w:val="22"/>
        </w:rPr>
        <w:t>В отношении электроустановок МКД должны передаваться акты - приемки скрытых работ; - испытаний и наладки электрооборудования; - приемки электроустановок в эксплуатацию. 10.Акты на исправность автоматики безопасности и контрольно-измерительных приборов (КИП) котельных и инженерного оборудования зданий; -акты технического состояния и исправности работы противопожарного оборудования; - акты о готовности к зиме; - акты на испытания, промывку, наладку систем холодного, горячего водоснабжения и отопления.</w:t>
      </w:r>
    </w:p>
    <w:p>
      <w:pPr>
        <w:pStyle w:val="Heading3"/>
      </w:pPr>
      <w:r>
        <w:rPr>
          <w:rFonts w:ascii="Times New Roman" w:hAnsi="Times New Roman" w:eastAsia="Times New Roman" w:cs="Times New Roman"/>
          <w:b/>
          <w:i w:val="0"/>
          <w:sz w:val="22"/>
        </w:rPr>
        <w:t>Пункт 11. Правовой анализ</w:t>
      </w:r>
    </w:p>
    <w:p>
      <w:pPr>
        <w:spacing w:after="120" w:before="160"/>
        <w:ind w:firstLine="720"/>
        <w:jc w:val="both"/>
      </w:pPr>
      <w:r>
        <w:rPr>
          <w:rFonts w:ascii="Times New Roman" w:hAnsi="Times New Roman" w:eastAsia="Times New Roman" w:cs="Times New Roman"/>
          <w:b/>
          <w:i w:val="0"/>
          <w:sz w:val="22"/>
        </w:rPr>
        <w:t xml:space="preserve">11. </w:t>
      </w:r>
      <w:r>
        <w:rPr>
          <w:rFonts w:ascii="Times New Roman" w:hAnsi="Times New Roman" w:eastAsia="Times New Roman" w:cs="Times New Roman"/>
          <w:b w:val="0"/>
          <w:i w:val="0"/>
          <w:sz w:val="22"/>
        </w:rPr>
        <w:t>Журнал осмотра по учету технического состояния МКД</w:t>
      </w:r>
    </w:p>
    <w:p>
      <w:pPr>
        <w:pStyle w:val="Heading3"/>
      </w:pPr>
      <w:r>
        <w:rPr>
          <w:rFonts w:ascii="Times New Roman" w:hAnsi="Times New Roman" w:eastAsia="Times New Roman" w:cs="Times New Roman"/>
          <w:b/>
          <w:i w:val="0"/>
          <w:sz w:val="22"/>
        </w:rPr>
        <w:t>Пункт 12. Правовой анализ</w:t>
      </w:r>
    </w:p>
    <w:p>
      <w:pPr>
        <w:spacing w:after="120" w:before="160"/>
        <w:ind w:firstLine="720"/>
        <w:jc w:val="both"/>
      </w:pPr>
      <w:r>
        <w:rPr>
          <w:rFonts w:ascii="Times New Roman" w:hAnsi="Times New Roman" w:eastAsia="Times New Roman" w:cs="Times New Roman"/>
          <w:b/>
          <w:i w:val="0"/>
          <w:sz w:val="22"/>
        </w:rPr>
        <w:t xml:space="preserve">12. </w:t>
      </w:r>
      <w:r>
        <w:rPr>
          <w:rFonts w:ascii="Times New Roman" w:hAnsi="Times New Roman" w:eastAsia="Times New Roman" w:cs="Times New Roman"/>
          <w:b w:val="0"/>
          <w:i w:val="0"/>
          <w:sz w:val="22"/>
        </w:rPr>
        <w:t>Акты проверок готовности к отопительному периоду и выданные паспорта готовь МКД к отопительному периоду. 13. Документация на электроустановки: - генеральный план с нанесенными зданиями, сооружениями и подземными электротехническими коммуникациями; - утвержденная проектная документация (чертежи, пояснительные записки и др.) со всеми последующими изменениями; - акты приемки скрытых работ, испытаний и наладки электрооборудования, приемки электроустановок в эксплуатацию; - исполнительные рабочие схемы первичных и вторичных электрических соединений; - акты разграничения сетей по имущественной (балансовой) принадлежности и эксплуатационной ответственности между энергоснабжающей организацией Потребителем; -технические паспорта основного электрооборудования, сертификаты на оборудование и материалы, подлежащие обязательной сертификации; -производственные инструкции по эксплуатации электроустановок.</w:t>
      </w:r>
    </w:p>
    <w:p>
      <w:pPr>
        <w:pStyle w:val="Heading3"/>
      </w:pPr>
      <w:r>
        <w:rPr>
          <w:rFonts w:ascii="Times New Roman" w:hAnsi="Times New Roman" w:eastAsia="Times New Roman" w:cs="Times New Roman"/>
          <w:b/>
          <w:i w:val="0"/>
          <w:sz w:val="22"/>
        </w:rPr>
        <w:t>Пункт 14. Правовой анализ</w:t>
      </w:r>
    </w:p>
    <w:p>
      <w:pPr>
        <w:spacing w:after="120" w:before="160"/>
        <w:ind w:firstLine="720"/>
        <w:jc w:val="both"/>
      </w:pPr>
      <w:r>
        <w:rPr>
          <w:rFonts w:ascii="Times New Roman" w:hAnsi="Times New Roman" w:eastAsia="Times New Roman" w:cs="Times New Roman"/>
          <w:b/>
          <w:i w:val="0"/>
          <w:sz w:val="22"/>
        </w:rPr>
        <w:t xml:space="preserve">14. </w:t>
      </w:r>
      <w:r>
        <w:rPr>
          <w:rFonts w:ascii="Times New Roman" w:hAnsi="Times New Roman" w:eastAsia="Times New Roman" w:cs="Times New Roman"/>
          <w:b w:val="0"/>
          <w:i w:val="0"/>
          <w:sz w:val="22"/>
        </w:rPr>
        <w:t>Техническую документацию на системы кондиционирования воздуха и вентиляции.</w:t>
      </w:r>
    </w:p>
    <w:p>
      <w:pPr>
        <w:pStyle w:val="Heading3"/>
      </w:pPr>
      <w:r>
        <w:rPr>
          <w:rFonts w:ascii="Times New Roman" w:hAnsi="Times New Roman" w:eastAsia="Times New Roman" w:cs="Times New Roman"/>
          <w:b/>
          <w:i w:val="0"/>
          <w:sz w:val="22"/>
        </w:rPr>
        <w:t>Пункт 15. Правовой анализ</w:t>
      </w:r>
    </w:p>
    <w:p>
      <w:pPr>
        <w:spacing w:after="120" w:before="160"/>
        <w:ind w:firstLine="720"/>
        <w:jc w:val="both"/>
      </w:pPr>
      <w:r>
        <w:rPr>
          <w:rFonts w:ascii="Times New Roman" w:hAnsi="Times New Roman" w:eastAsia="Times New Roman" w:cs="Times New Roman"/>
          <w:b/>
          <w:i w:val="0"/>
          <w:sz w:val="22"/>
        </w:rPr>
        <w:t xml:space="preserve">15. </w:t>
      </w:r>
      <w:r>
        <w:rPr>
          <w:rFonts w:ascii="Times New Roman" w:hAnsi="Times New Roman" w:eastAsia="Times New Roman" w:cs="Times New Roman"/>
          <w:b w:val="0"/>
          <w:i w:val="0"/>
          <w:sz w:val="22"/>
        </w:rPr>
        <w:t>Паспорта на лифты и акты периодического технического освидетельствования лифтов.</w:t>
      </w:r>
    </w:p>
    <w:p>
      <w:pPr>
        <w:pStyle w:val="Heading3"/>
      </w:pPr>
      <w:r>
        <w:rPr>
          <w:rFonts w:ascii="Times New Roman" w:hAnsi="Times New Roman" w:eastAsia="Times New Roman" w:cs="Times New Roman"/>
          <w:b/>
          <w:i w:val="0"/>
          <w:sz w:val="22"/>
        </w:rPr>
        <w:t>Пункт 16. Правовой анализ</w:t>
      </w:r>
    </w:p>
    <w:p>
      <w:pPr>
        <w:spacing w:after="120" w:before="160"/>
        <w:ind w:firstLine="720"/>
        <w:jc w:val="both"/>
      </w:pPr>
      <w:r>
        <w:rPr>
          <w:rFonts w:ascii="Times New Roman" w:hAnsi="Times New Roman" w:eastAsia="Times New Roman" w:cs="Times New Roman"/>
          <w:b/>
          <w:i w:val="0"/>
          <w:sz w:val="22"/>
        </w:rPr>
        <w:t xml:space="preserve">16. </w:t>
      </w:r>
      <w:r>
        <w:rPr>
          <w:rFonts w:ascii="Times New Roman" w:hAnsi="Times New Roman" w:eastAsia="Times New Roman" w:cs="Times New Roman"/>
          <w:b w:val="0"/>
          <w:i w:val="0"/>
          <w:sz w:val="22"/>
        </w:rPr>
        <w:t>Документы по проведению работ по капитальному ремонту общего имущества МК, договору, заключенному управляющей организацией: исполнительная документа предусмотренная РД-11-02-2006: - акты освидетельствования скрытых работ; - акты освидетельствования ответственных конструкций. - акты освидетельствования участков сетей инженерно-технического - комплект рабочих чертежей с надписями о соответствии выполненных в натуре работ этим чертежам, сделанными лицами, ответственными за производство строительно-монтаж работ; - исполнительные схемы и профили участков сетей инженерно-технического обеспечения, - акты испытания и опробования технических устройств, систем инженерно-технического обеспечения; - результаты экспертиз, обследований, лабораторных и иных испытаний выполнен работ, проведенных в процессе строительного контроля; -документы, подтверждающие проведение контроля за качеством применяемых строительных материалов (изделий); -иные документы, отражающие фактическое исполнение проектных решений. - выданные уполномоченными органами исполнительной власти предписания устранении выявленных в процессе эксплуатации МКД нарушений; - акты проверки выполнения уполномоченными органами исполнительной власти указанных предписаний; - рекомендации органа местного самоуправления. 17.Иные документы: 1. Копия кадастрового плана (карты) земельного участка, удостоверенная Федеральной службой государственной регистрации, кадастр картографии (далее - Росреестр). Выписка из Единого государственного реестра недвижимости, содержащая сведения о зарегистрированных правах на объекты недвижимости, являющиеся общим имуществом. Копия градостроительного плана земельного участка, заверенная уполномоченным органом местного самоуправления.</w:t>
      </w:r>
    </w:p>
    <w:p>
      <w:pPr>
        <w:pStyle w:val="Heading3"/>
      </w:pPr>
      <w:r>
        <w:rPr>
          <w:rFonts w:ascii="Times New Roman" w:hAnsi="Times New Roman" w:eastAsia="Times New Roman" w:cs="Times New Roman"/>
          <w:b/>
          <w:i w:val="0"/>
          <w:sz w:val="22"/>
        </w:rPr>
        <w:t>Пункт 18. Правовой анализ</w:t>
      </w:r>
    </w:p>
    <w:p>
      <w:pPr>
        <w:spacing w:after="120" w:before="160"/>
        <w:ind w:firstLine="720"/>
        <w:jc w:val="both"/>
      </w:pPr>
      <w:r>
        <w:rPr>
          <w:rFonts w:ascii="Times New Roman" w:hAnsi="Times New Roman" w:eastAsia="Times New Roman" w:cs="Times New Roman"/>
          <w:b/>
          <w:i w:val="0"/>
          <w:sz w:val="22"/>
        </w:rPr>
        <w:t xml:space="preserve">18. </w:t>
      </w:r>
      <w:r>
        <w:rPr>
          <w:rFonts w:ascii="Times New Roman" w:hAnsi="Times New Roman" w:eastAsia="Times New Roman" w:cs="Times New Roman"/>
          <w:b w:val="0"/>
          <w:i w:val="0"/>
          <w:sz w:val="22"/>
        </w:rPr>
        <w:t>Реестр собственников помещений в МКД .</w:t>
      </w:r>
    </w:p>
    <w:p>
      <w:pPr>
        <w:pStyle w:val="Heading3"/>
      </w:pPr>
      <w:r>
        <w:rPr>
          <w:rFonts w:ascii="Times New Roman" w:hAnsi="Times New Roman" w:eastAsia="Times New Roman" w:cs="Times New Roman"/>
          <w:b/>
          <w:i w:val="0"/>
          <w:sz w:val="22"/>
        </w:rPr>
        <w:t>Пункт 19. Правовой анализ</w:t>
      </w:r>
    </w:p>
    <w:p>
      <w:pPr>
        <w:spacing w:after="120" w:before="160"/>
        <w:ind w:firstLine="720"/>
        <w:jc w:val="both"/>
      </w:pPr>
      <w:r>
        <w:rPr>
          <w:rFonts w:ascii="Times New Roman" w:hAnsi="Times New Roman" w:eastAsia="Times New Roman" w:cs="Times New Roman"/>
          <w:b/>
          <w:i w:val="0"/>
          <w:sz w:val="22"/>
        </w:rPr>
        <w:t xml:space="preserve">19. </w:t>
      </w:r>
      <w:r>
        <w:rPr>
          <w:rFonts w:ascii="Times New Roman" w:hAnsi="Times New Roman" w:eastAsia="Times New Roman" w:cs="Times New Roman"/>
          <w:b w:val="0"/>
          <w:i w:val="0"/>
          <w:sz w:val="22"/>
        </w:rPr>
        <w:t>Схемы внутридомовых сетей водоснабжения, канализации, центрального отопления, тепло-, газо-, электроснабжения.</w:t>
      </w:r>
    </w:p>
    <w:p>
      <w:pPr>
        <w:pStyle w:val="Heading3"/>
      </w:pPr>
      <w:r>
        <w:rPr>
          <w:rFonts w:ascii="Times New Roman" w:hAnsi="Times New Roman" w:eastAsia="Times New Roman" w:cs="Times New Roman"/>
          <w:b/>
          <w:i w:val="0"/>
          <w:sz w:val="22"/>
        </w:rPr>
        <w:t>Пункт 20. Правовой анализ</w:t>
      </w:r>
    </w:p>
    <w:p>
      <w:pPr>
        <w:spacing w:after="120" w:before="160"/>
        <w:ind w:firstLine="720"/>
        <w:jc w:val="both"/>
      </w:pPr>
      <w:r>
        <w:rPr>
          <w:rFonts w:ascii="Times New Roman" w:hAnsi="Times New Roman" w:eastAsia="Times New Roman" w:cs="Times New Roman"/>
          <w:b/>
          <w:i w:val="0"/>
          <w:sz w:val="22"/>
        </w:rPr>
        <w:t xml:space="preserve">20. </w:t>
      </w:r>
      <w:r>
        <w:rPr>
          <w:rFonts w:ascii="Times New Roman" w:hAnsi="Times New Roman" w:eastAsia="Times New Roman" w:cs="Times New Roman"/>
          <w:b w:val="0"/>
          <w:i w:val="0"/>
          <w:sz w:val="22"/>
        </w:rPr>
        <w:t>Паспорта лифтового хозяйства; 21. Протоколы измерения: сопротивления электросетей и вентиляции. Обязать общество с ограниченной ответственностью «Сфера-Инвест» в случае отсутствия вышеуказанных документов восстановить данные документы за свой счет для дальнейшей передачи обществу с ограниченной ответственностью «Интерус». В случае неисполнения судебного решения в установленный срок взыскать с общества с ограниченной ответственностью «Сфера-Инвест» в пользу общества с ограниченной ответственностью «Интерус» 3 000 руб. за каждый день просрочки, начиная с 31 дня до исполнения судебного акта. В удовлетворении остальной части иска отказать. Взыскать с общества с ограниченной ответственностью «Сфера-Инвест» в пользу общества с ограниченной ответственностью «Интерус» 50 000 руб. судебных расходов по уплате государственной пошлины. Решение может быть обжаловано в Тринадцатый арбитражный апелляционный суд в течение месяца со дня принятия Решения. Судья Ульянова М.Н. Суд: АС Санкт-Петербурга и Ленинградской обл. (подробнее) Истцы: ООО "ИНТЕРУС" (подробнее) Ответчики: ООО " СФЕРА-ИНВЕСТ " (подробнее) Судьи дела: Ульянова М.Н.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