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«Муромский завод Транспутьмаш», Владимирская область, г. Муром, в пользу общества с ограниченной ответственностью «Транспортная компания «Векта», г. Санкт-Петербург, штраф в сумме 144 000 руб., 6544 руб. в счет возмещения судебных расходов по уплате государственной пошлины. Исполнительный лист выдать в порядке и сроки, предусмотренные статьей 319 Арбитражного процессуального кодекса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остальной части в удовлетворении исковых требований отказать. Решение может быть обжаловано в Первый арбитражный апелляционный суд, г. Владимир, через Арбитражный суд Владимирской области в течение месяца с момента принятия решения. В таком же порядке решение может быть обжаловано в Арбитражный суд Волго-Вятского округа, г. Нижний Новгород, в срок, не превышающий двух месяцев со дня вступления в законную силу обжалуемого судебного акта, при условии,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Судья О.Г. Тихонравова Суд: АС Владимирской области (подробнее) Истцы: ООО "ТРАНСПОРТНАЯ КОМПАНИЯ "ВЕКТА" (подробнее) Ответчики: ООО "Муромский завод ТрансПутьМаш" (подробнее) Иные лица: ООО "ЦЕНТР ВОСТОК"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